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Ind w:w="108" w:type="dxa"/>
        <w:tblBorders>
          <w:top w:val="single" w:sz="18" w:space="0" w:color="003E6A"/>
          <w:left w:val="none" w:sz="0" w:space="0" w:color="auto"/>
          <w:bottom w:val="single" w:sz="18" w:space="0" w:color="003E6A"/>
          <w:right w:val="none" w:sz="0" w:space="0" w:color="auto"/>
          <w:insideH w:val="none" w:sz="0" w:space="0" w:color="auto"/>
          <w:insideV w:val="none" w:sz="0" w:space="0" w:color="auto"/>
        </w:tblBorders>
        <w:tblLook w:val="04A0" w:firstRow="1" w:lastRow="0" w:firstColumn="1" w:lastColumn="0" w:noHBand="0" w:noVBand="1"/>
      </w:tblPr>
      <w:tblGrid>
        <w:gridCol w:w="9672"/>
      </w:tblGrid>
      <w:tr w:rsidR="009E7B8F" w:rsidRPr="009E7B8F" w14:paraId="02F398D0" w14:textId="77777777" w:rsidTr="001B231C">
        <w:tc>
          <w:tcPr>
            <w:tcW w:w="10065" w:type="dxa"/>
          </w:tcPr>
          <w:p w14:paraId="792B088A" w14:textId="3E56E368" w:rsidR="009E7B8F" w:rsidRPr="009E7B8F" w:rsidRDefault="005B1BC0" w:rsidP="009E7B8F">
            <w:pPr>
              <w:widowControl w:val="0"/>
              <w:autoSpaceDE w:val="0"/>
              <w:autoSpaceDN w:val="0"/>
              <w:adjustRightInd w:val="0"/>
              <w:spacing w:before="240" w:after="240"/>
              <w:jc w:val="center"/>
              <w:rPr>
                <w:rFonts w:ascii="Calibri" w:hAnsi="Calibri" w:cs="Arial"/>
                <w:b/>
                <w:color w:val="003E6A"/>
                <w:sz w:val="44"/>
                <w:szCs w:val="44"/>
              </w:rPr>
            </w:pPr>
            <w:r>
              <w:rPr>
                <w:rFonts w:ascii="Calibri" w:hAnsi="Calibri" w:cs="Arial"/>
                <w:b/>
                <w:color w:val="003E6A"/>
                <w:sz w:val="44"/>
                <w:szCs w:val="44"/>
              </w:rPr>
              <w:t xml:space="preserve">PROBITY IN </w:t>
            </w:r>
            <w:r w:rsidR="0078760D">
              <w:rPr>
                <w:rFonts w:ascii="Calibri" w:hAnsi="Calibri" w:cs="Arial"/>
                <w:b/>
                <w:color w:val="003E6A"/>
                <w:sz w:val="44"/>
                <w:szCs w:val="44"/>
              </w:rPr>
              <w:t xml:space="preserve">PROCUREMENT </w:t>
            </w:r>
            <w:r w:rsidR="00181E74">
              <w:rPr>
                <w:rFonts w:ascii="Calibri" w:hAnsi="Calibri" w:cs="Arial"/>
                <w:b/>
                <w:color w:val="003E6A"/>
                <w:sz w:val="44"/>
                <w:szCs w:val="44"/>
              </w:rPr>
              <w:t>GUIDE</w:t>
            </w:r>
          </w:p>
        </w:tc>
      </w:tr>
    </w:tbl>
    <w:p w14:paraId="2959BDEE" w14:textId="77777777" w:rsidR="009E7B8F" w:rsidRDefault="009E7B8F" w:rsidP="004B44D8">
      <w:pPr>
        <w:widowControl w:val="0"/>
        <w:autoSpaceDE w:val="0"/>
        <w:autoSpaceDN w:val="0"/>
        <w:spacing w:before="8" w:after="0" w:line="240" w:lineRule="auto"/>
        <w:rPr>
          <w:rFonts w:eastAsia="Corbel" w:cs="Corbel"/>
          <w:b/>
          <w:sz w:val="24"/>
          <w:szCs w:val="24"/>
          <w:lang w:val="en-US"/>
        </w:rPr>
      </w:pPr>
    </w:p>
    <w:p w14:paraId="3D59A9B1" w14:textId="45D4E551" w:rsidR="009B5842" w:rsidRPr="00046D11" w:rsidRDefault="009B5842" w:rsidP="004B44D8">
      <w:pPr>
        <w:widowControl w:val="0"/>
        <w:autoSpaceDE w:val="0"/>
        <w:autoSpaceDN w:val="0"/>
        <w:spacing w:before="8" w:after="0" w:line="240" w:lineRule="auto"/>
        <w:rPr>
          <w:rFonts w:ascii="Aptos Display" w:eastAsia="Corbel" w:hAnsi="Aptos Display" w:cs="Corbel"/>
          <w:b/>
          <w:lang w:val="en-US"/>
        </w:rPr>
      </w:pPr>
      <w:bookmarkStart w:id="0" w:name="Confidentiality"/>
      <w:bookmarkEnd w:id="0"/>
      <w:r w:rsidRPr="00046D11">
        <w:rPr>
          <w:rFonts w:ascii="Aptos Display" w:eastAsia="Corbel" w:hAnsi="Aptos Display" w:cs="Corbel"/>
          <w:b/>
          <w:lang w:val="en-US"/>
        </w:rPr>
        <w:t>Introduction</w:t>
      </w:r>
    </w:p>
    <w:p w14:paraId="024B56E6" w14:textId="77777777" w:rsidR="009B5842" w:rsidRPr="00046D11" w:rsidRDefault="009B5842" w:rsidP="004B44D8">
      <w:pPr>
        <w:widowControl w:val="0"/>
        <w:autoSpaceDE w:val="0"/>
        <w:autoSpaceDN w:val="0"/>
        <w:spacing w:before="8" w:after="0" w:line="240" w:lineRule="auto"/>
        <w:rPr>
          <w:rFonts w:ascii="Aptos Display" w:eastAsia="Corbel" w:hAnsi="Aptos Display" w:cs="Corbel"/>
          <w:b/>
          <w:lang w:val="en-US"/>
        </w:rPr>
      </w:pPr>
    </w:p>
    <w:p w14:paraId="5D70D194" w14:textId="1E5BB89B" w:rsidR="00102A10" w:rsidRPr="00046D11" w:rsidRDefault="008600C4" w:rsidP="00102A10">
      <w:pPr>
        <w:jc w:val="both"/>
        <w:rPr>
          <w:rFonts w:ascii="Aptos Display" w:eastAsia="Corbel" w:hAnsi="Aptos Display" w:cs="Corbel"/>
          <w:lang w:val="en-US"/>
        </w:rPr>
      </w:pPr>
      <w:r w:rsidRPr="00046D11">
        <w:rPr>
          <w:rFonts w:ascii="Aptos Display" w:eastAsia="Corbel" w:hAnsi="Aptos Display" w:cs="Corbel"/>
          <w:lang w:val="en-US"/>
        </w:rPr>
        <w:t>Gold Coast Primary Health Network (GCPHN) is committed to conducting business in an open and ethical manner, and conducts its business with integrity, honesty, transparency</w:t>
      </w:r>
      <w:r w:rsidR="00373235" w:rsidRPr="00046D11">
        <w:rPr>
          <w:rFonts w:ascii="Aptos Display" w:eastAsia="Corbel" w:hAnsi="Aptos Display" w:cs="Corbel"/>
          <w:lang w:val="en-US"/>
        </w:rPr>
        <w:t>, and fairness</w:t>
      </w:r>
      <w:r w:rsidRPr="00046D11">
        <w:rPr>
          <w:rFonts w:ascii="Aptos Display" w:eastAsia="Corbel" w:hAnsi="Aptos Display" w:cs="Corbel"/>
          <w:lang w:val="en-US"/>
        </w:rPr>
        <w:t xml:space="preserve"> in all matters.</w:t>
      </w:r>
      <w:r w:rsidR="00102A10" w:rsidRPr="00046D11">
        <w:rPr>
          <w:rFonts w:ascii="Aptos Display" w:eastAsia="Corbel" w:hAnsi="Aptos Display" w:cs="Corbel"/>
          <w:lang w:val="en-US"/>
        </w:rPr>
        <w:t xml:space="preserve">  GCPHN will ensure that all procurement processes are consistent with best practice and the highest standards of ethical conduct.</w:t>
      </w:r>
    </w:p>
    <w:p w14:paraId="1A80A83E" w14:textId="4A6C2697" w:rsidR="008600C4" w:rsidRPr="00046D11" w:rsidRDefault="00181E74" w:rsidP="003C5E3D">
      <w:pPr>
        <w:ind w:hanging="11"/>
        <w:jc w:val="both"/>
        <w:rPr>
          <w:rFonts w:ascii="Aptos Display" w:eastAsia="Corbel" w:hAnsi="Aptos Display" w:cs="Corbel"/>
          <w:lang w:val="en-US"/>
        </w:rPr>
      </w:pPr>
      <w:r w:rsidRPr="00046D11">
        <w:rPr>
          <w:rFonts w:ascii="Aptos Display" w:eastAsia="Corbel" w:hAnsi="Aptos Display" w:cs="Corbel"/>
          <w:b/>
          <w:lang w:val="en-US"/>
        </w:rPr>
        <w:t xml:space="preserve">Purpose </w:t>
      </w:r>
    </w:p>
    <w:p w14:paraId="37A82BD2" w14:textId="4E9FC152" w:rsidR="00524CF5" w:rsidRPr="00046D11" w:rsidRDefault="000561C1" w:rsidP="008600C4">
      <w:pPr>
        <w:ind w:hanging="11"/>
        <w:jc w:val="both"/>
        <w:rPr>
          <w:rFonts w:ascii="Aptos Display" w:hAnsi="Aptos Display"/>
        </w:rPr>
      </w:pPr>
      <w:r w:rsidRPr="00046D11">
        <w:rPr>
          <w:rFonts w:ascii="Aptos Display" w:hAnsi="Aptos Display"/>
        </w:rPr>
        <w:t xml:space="preserve">This guide aims to help </w:t>
      </w:r>
      <w:r w:rsidR="00F20A87">
        <w:rPr>
          <w:rFonts w:ascii="Aptos Display" w:hAnsi="Aptos Display"/>
        </w:rPr>
        <w:t>GCPHN staff</w:t>
      </w:r>
      <w:r w:rsidRPr="00046D11">
        <w:rPr>
          <w:rFonts w:ascii="Aptos Display" w:hAnsi="Aptos Display"/>
        </w:rPr>
        <w:t xml:space="preserve"> understand and integrate probity requirements into their procurement practices</w:t>
      </w:r>
      <w:r w:rsidR="00E37B8B" w:rsidRPr="00046D11">
        <w:rPr>
          <w:rFonts w:ascii="Aptos Display" w:hAnsi="Aptos Display"/>
        </w:rPr>
        <w:t xml:space="preserve"> and provides an overview on </w:t>
      </w:r>
      <w:r w:rsidR="00A056B5" w:rsidRPr="00046D11">
        <w:rPr>
          <w:rFonts w:ascii="Aptos Display" w:hAnsi="Aptos Display"/>
        </w:rPr>
        <w:t>the importance of</w:t>
      </w:r>
      <w:r w:rsidR="00E37B8B" w:rsidRPr="00046D11">
        <w:rPr>
          <w:rFonts w:ascii="Aptos Display" w:hAnsi="Aptos Display"/>
        </w:rPr>
        <w:t xml:space="preserve"> probity </w:t>
      </w:r>
      <w:r w:rsidR="00A056B5" w:rsidRPr="00046D11">
        <w:rPr>
          <w:rFonts w:ascii="Aptos Display" w:hAnsi="Aptos Display"/>
        </w:rPr>
        <w:t>being</w:t>
      </w:r>
      <w:r w:rsidR="00E37B8B" w:rsidRPr="00046D11">
        <w:rPr>
          <w:rFonts w:ascii="Aptos Display" w:hAnsi="Aptos Display"/>
        </w:rPr>
        <w:t xml:space="preserve"> part of the procurement process</w:t>
      </w:r>
      <w:r w:rsidR="00A056B5" w:rsidRPr="00046D11">
        <w:rPr>
          <w:rFonts w:ascii="Aptos Display" w:hAnsi="Aptos Display"/>
        </w:rPr>
        <w:t>.</w:t>
      </w:r>
    </w:p>
    <w:p w14:paraId="6591F6FB" w14:textId="27ADAFCB" w:rsidR="00AB7A5B" w:rsidRPr="00046D11" w:rsidRDefault="002A02B9" w:rsidP="1D4EF1E9">
      <w:pPr>
        <w:widowControl w:val="0"/>
        <w:autoSpaceDE w:val="0"/>
        <w:autoSpaceDN w:val="0"/>
        <w:spacing w:after="120" w:line="240" w:lineRule="auto"/>
        <w:jc w:val="both"/>
        <w:rPr>
          <w:rFonts w:ascii="Aptos Display" w:eastAsia="Corbel" w:hAnsi="Aptos Display" w:cs="Corbel"/>
          <w:b/>
          <w:lang w:val="en-US"/>
        </w:rPr>
      </w:pPr>
      <w:r w:rsidRPr="00046D11">
        <w:rPr>
          <w:rFonts w:ascii="Aptos Display" w:eastAsia="Corbel" w:hAnsi="Aptos Display" w:cs="Corbel"/>
          <w:b/>
          <w:lang w:val="en-US"/>
        </w:rPr>
        <w:t>Definition</w:t>
      </w:r>
    </w:p>
    <w:p w14:paraId="5CC2A1F1" w14:textId="4BC9DCB7" w:rsidR="003C5E3D" w:rsidRPr="00046D11" w:rsidRDefault="003C5E3D" w:rsidP="1D4EF1E9">
      <w:pPr>
        <w:jc w:val="both"/>
        <w:rPr>
          <w:rFonts w:ascii="Aptos Display" w:hAnsi="Aptos Display"/>
          <w:lang w:eastAsia="en-AU"/>
        </w:rPr>
      </w:pPr>
      <w:r w:rsidRPr="00046D11">
        <w:rPr>
          <w:rFonts w:ascii="Aptos Display" w:hAnsi="Aptos Display"/>
          <w:lang w:eastAsia="en-AU"/>
        </w:rPr>
        <w:t>Probity is evidence of ethical behaviour in a process. Demonstrating probity means more than just avoiding corrupt or dishonest conduct. It involves proactively demonstrating that any procurement process is robust and the outcome beyond reproach. Probity requires acting in such a way that there can be no perception of bias, influence or lack of integrity. This requires ethical conduct that exceeds legal requirements.</w:t>
      </w:r>
    </w:p>
    <w:p w14:paraId="31CB8EB1" w14:textId="512D6B49" w:rsidR="003C5E3D" w:rsidRPr="00046D11" w:rsidRDefault="003C5E3D" w:rsidP="1D4EF1E9">
      <w:pPr>
        <w:jc w:val="both"/>
        <w:rPr>
          <w:rFonts w:ascii="Aptos Display" w:hAnsi="Aptos Display"/>
          <w:lang w:eastAsia="en-AU"/>
        </w:rPr>
      </w:pPr>
      <w:r w:rsidRPr="00046D11">
        <w:rPr>
          <w:rFonts w:ascii="Aptos Display" w:hAnsi="Aptos Display"/>
          <w:lang w:eastAsia="en-AU"/>
        </w:rPr>
        <w:t>To this end</w:t>
      </w:r>
      <w:r w:rsidR="002C6652">
        <w:rPr>
          <w:rFonts w:ascii="Aptos Display" w:hAnsi="Aptos Display"/>
          <w:lang w:eastAsia="en-AU"/>
        </w:rPr>
        <w:t>,</w:t>
      </w:r>
      <w:r w:rsidRPr="00046D11">
        <w:rPr>
          <w:rFonts w:ascii="Aptos Display" w:hAnsi="Aptos Display"/>
          <w:lang w:eastAsia="en-AU"/>
        </w:rPr>
        <w:t xml:space="preserve"> probity within procurement should not be a last</w:t>
      </w:r>
      <w:r w:rsidR="6551E65E" w:rsidRPr="21BA70ED">
        <w:rPr>
          <w:rFonts w:ascii="Aptos Display" w:hAnsi="Aptos Display"/>
          <w:lang w:eastAsia="en-AU"/>
        </w:rPr>
        <w:t>-</w:t>
      </w:r>
      <w:r w:rsidRPr="00046D11">
        <w:rPr>
          <w:rFonts w:ascii="Aptos Display" w:hAnsi="Aptos Display"/>
          <w:lang w:eastAsia="en-AU"/>
        </w:rPr>
        <w:t>minute add-on</w:t>
      </w:r>
      <w:r w:rsidR="002C6652">
        <w:rPr>
          <w:rFonts w:ascii="Aptos Display" w:hAnsi="Aptos Display"/>
          <w:lang w:eastAsia="en-AU"/>
        </w:rPr>
        <w:t>,</w:t>
      </w:r>
      <w:r w:rsidRPr="00046D11">
        <w:rPr>
          <w:rFonts w:ascii="Aptos Display" w:hAnsi="Aptos Display"/>
          <w:lang w:eastAsia="en-AU"/>
        </w:rPr>
        <w:t xml:space="preserve"> but must be integrated into all stages of the procurement process.</w:t>
      </w:r>
    </w:p>
    <w:p w14:paraId="57603309" w14:textId="619C7F1A" w:rsidR="002A02B9" w:rsidRPr="00046D11" w:rsidRDefault="00130439" w:rsidP="1D4EF1E9">
      <w:pPr>
        <w:widowControl w:val="0"/>
        <w:autoSpaceDE w:val="0"/>
        <w:autoSpaceDN w:val="0"/>
        <w:spacing w:before="8" w:after="120" w:line="240" w:lineRule="auto"/>
        <w:jc w:val="both"/>
        <w:rPr>
          <w:rFonts w:ascii="Aptos Display" w:eastAsia="Corbel" w:hAnsi="Aptos Display" w:cs="Corbel"/>
          <w:b/>
          <w:lang w:val="en-US"/>
        </w:rPr>
      </w:pPr>
      <w:r w:rsidRPr="00046D11">
        <w:rPr>
          <w:rFonts w:ascii="Aptos Display" w:eastAsia="Corbel" w:hAnsi="Aptos Display" w:cs="Corbel"/>
          <w:b/>
          <w:lang w:val="en-US"/>
        </w:rPr>
        <w:t>O</w:t>
      </w:r>
      <w:r w:rsidR="003E66E0" w:rsidRPr="00046D11">
        <w:rPr>
          <w:rFonts w:ascii="Aptos Display" w:eastAsia="Corbel" w:hAnsi="Aptos Display" w:cs="Corbel"/>
          <w:b/>
          <w:lang w:val="en-US"/>
        </w:rPr>
        <w:t>bjectives</w:t>
      </w:r>
    </w:p>
    <w:p w14:paraId="3CACFEE2" w14:textId="0D9AB634" w:rsidR="00164AA5" w:rsidRPr="00046D11" w:rsidRDefault="00164AA5" w:rsidP="1D4EF1E9">
      <w:pPr>
        <w:jc w:val="both"/>
        <w:rPr>
          <w:rFonts w:ascii="Aptos Display" w:hAnsi="Aptos Display"/>
          <w:lang w:eastAsia="en-AU"/>
        </w:rPr>
      </w:pPr>
      <w:r w:rsidRPr="00046D11">
        <w:rPr>
          <w:rFonts w:ascii="Aptos Display" w:hAnsi="Aptos Display"/>
          <w:lang w:eastAsia="en-AU"/>
        </w:rPr>
        <w:t>The objectives of probity in procurement are to:</w:t>
      </w:r>
    </w:p>
    <w:p w14:paraId="53BAE896" w14:textId="6A881B1F" w:rsidR="00164AA5" w:rsidRPr="00046D11" w:rsidRDefault="00164AA5" w:rsidP="1D4EF1E9">
      <w:pPr>
        <w:pStyle w:val="ListParagraph"/>
        <w:numPr>
          <w:ilvl w:val="0"/>
          <w:numId w:val="3"/>
        </w:numPr>
        <w:spacing w:before="120" w:after="120" w:line="240" w:lineRule="auto"/>
        <w:ind w:left="714" w:hanging="357"/>
        <w:jc w:val="both"/>
        <w:rPr>
          <w:rFonts w:ascii="Aptos Display" w:hAnsi="Aptos Display"/>
          <w:lang w:eastAsia="en-AU"/>
        </w:rPr>
      </w:pPr>
      <w:r w:rsidRPr="00046D11">
        <w:rPr>
          <w:rFonts w:ascii="Aptos Display" w:hAnsi="Aptos Display"/>
          <w:lang w:eastAsia="en-AU"/>
        </w:rPr>
        <w:t>ensure accountability, transparency and integrity, and preserve confidence in the process</w:t>
      </w:r>
    </w:p>
    <w:p w14:paraId="44799D15" w14:textId="0285766B" w:rsidR="00164AA5" w:rsidRPr="00046D11" w:rsidRDefault="00164AA5" w:rsidP="1D4EF1E9">
      <w:pPr>
        <w:pStyle w:val="ListParagraph"/>
        <w:numPr>
          <w:ilvl w:val="0"/>
          <w:numId w:val="3"/>
        </w:numPr>
        <w:spacing w:before="120" w:after="120" w:line="240" w:lineRule="auto"/>
        <w:jc w:val="both"/>
        <w:rPr>
          <w:rFonts w:ascii="Aptos Display" w:hAnsi="Aptos Display"/>
          <w:lang w:eastAsia="en-AU"/>
        </w:rPr>
      </w:pPr>
      <w:r w:rsidRPr="00046D11">
        <w:rPr>
          <w:rFonts w:ascii="Aptos Display" w:hAnsi="Aptos Display"/>
          <w:lang w:eastAsia="en-AU"/>
        </w:rPr>
        <w:t>facilitate a value for money outcome</w:t>
      </w:r>
    </w:p>
    <w:p w14:paraId="088BF943" w14:textId="2E8B0C2D" w:rsidR="00164AA5" w:rsidRPr="00046D11" w:rsidRDefault="00164AA5" w:rsidP="1D4EF1E9">
      <w:pPr>
        <w:pStyle w:val="ListParagraph"/>
        <w:numPr>
          <w:ilvl w:val="0"/>
          <w:numId w:val="3"/>
        </w:numPr>
        <w:spacing w:before="120" w:after="120" w:line="240" w:lineRule="auto"/>
        <w:jc w:val="both"/>
        <w:rPr>
          <w:rFonts w:ascii="Aptos Display" w:hAnsi="Aptos Display"/>
          <w:lang w:eastAsia="en-AU"/>
        </w:rPr>
      </w:pPr>
      <w:r w:rsidRPr="00046D11">
        <w:rPr>
          <w:rFonts w:ascii="Aptos Display" w:hAnsi="Aptos Display"/>
          <w:lang w:eastAsia="en-AU"/>
        </w:rPr>
        <w:t>minimise potential risks of conflicts of interest, fraud and corruption.</w:t>
      </w:r>
    </w:p>
    <w:p w14:paraId="1F930757" w14:textId="13DEB077" w:rsidR="00F77F46" w:rsidRPr="00046D11" w:rsidRDefault="00F77F46" w:rsidP="00F77F46">
      <w:pPr>
        <w:jc w:val="both"/>
        <w:rPr>
          <w:rFonts w:ascii="Aptos Display" w:eastAsia="Corbel" w:hAnsi="Aptos Display" w:cs="Corbel"/>
          <w:lang w:val="en-US"/>
        </w:rPr>
      </w:pPr>
      <w:r w:rsidRPr="00046D11">
        <w:rPr>
          <w:rFonts w:ascii="Aptos Display" w:eastAsia="Corbel" w:hAnsi="Aptos Display" w:cs="Corbel"/>
          <w:lang w:val="en-US"/>
        </w:rPr>
        <w:t xml:space="preserve">Management of probity in procurement leads to greater bidder and public confidence in GCPHN procurement </w:t>
      </w:r>
      <w:r w:rsidRPr="00046D11">
        <w:rPr>
          <w:rFonts w:ascii="Aptos Display" w:hAnsi="Aptos Display"/>
          <w:lang w:eastAsia="en-AU"/>
        </w:rPr>
        <w:t xml:space="preserve">processes. Consequently, potential bidders are likely to be more willing to invest the time and resources and innovative processes associated with participating in GCPHN procurement </w:t>
      </w:r>
      <w:r w:rsidR="00373235" w:rsidRPr="00046D11">
        <w:rPr>
          <w:rFonts w:ascii="Aptos Display" w:hAnsi="Aptos Display"/>
          <w:lang w:eastAsia="en-AU"/>
        </w:rPr>
        <w:t>activities</w:t>
      </w:r>
      <w:r w:rsidRPr="00046D11">
        <w:rPr>
          <w:rFonts w:ascii="Aptos Display" w:hAnsi="Aptos Display"/>
          <w:lang w:eastAsia="en-AU"/>
        </w:rPr>
        <w:t>, therefore resulting in better and more competitive bids.</w:t>
      </w:r>
    </w:p>
    <w:p w14:paraId="5C923D27" w14:textId="67ACFD70" w:rsidR="00A35AA4" w:rsidRPr="00046D11" w:rsidRDefault="00336295" w:rsidP="00B77361">
      <w:pPr>
        <w:pStyle w:val="Default"/>
        <w:spacing w:after="322"/>
        <w:jc w:val="both"/>
        <w:rPr>
          <w:rFonts w:ascii="Aptos Display" w:eastAsia="Corbel" w:hAnsi="Aptos Display" w:cs="Corbel"/>
          <w:color w:val="auto"/>
          <w:sz w:val="22"/>
          <w:szCs w:val="22"/>
          <w:lang w:val="en-US"/>
        </w:rPr>
      </w:pPr>
      <w:r w:rsidRPr="00046D11">
        <w:rPr>
          <w:rFonts w:ascii="Aptos Display" w:eastAsia="Corbel" w:hAnsi="Aptos Display" w:cs="Corbel"/>
          <w:color w:val="auto"/>
          <w:sz w:val="22"/>
          <w:szCs w:val="22"/>
          <w:lang w:val="en-US"/>
        </w:rPr>
        <w:t>T</w:t>
      </w:r>
      <w:r w:rsidR="00327D23" w:rsidRPr="00046D11">
        <w:rPr>
          <w:rFonts w:ascii="Aptos Display" w:eastAsia="Corbel" w:hAnsi="Aptos Display" w:cs="Corbel"/>
          <w:color w:val="auto"/>
          <w:sz w:val="22"/>
          <w:szCs w:val="22"/>
          <w:lang w:val="en-US"/>
        </w:rPr>
        <w:t xml:space="preserve">his </w:t>
      </w:r>
      <w:r w:rsidR="00FE6AD1" w:rsidRPr="00046D11">
        <w:rPr>
          <w:rFonts w:ascii="Aptos Display" w:eastAsia="Corbel" w:hAnsi="Aptos Display" w:cs="Corbel"/>
          <w:color w:val="auto"/>
          <w:sz w:val="22"/>
          <w:szCs w:val="22"/>
          <w:lang w:val="en-US"/>
        </w:rPr>
        <w:t>guide</w:t>
      </w:r>
      <w:r w:rsidRPr="00046D11">
        <w:rPr>
          <w:rFonts w:ascii="Aptos Display" w:eastAsia="Corbel" w:hAnsi="Aptos Display" w:cs="Corbel"/>
          <w:color w:val="auto"/>
          <w:sz w:val="22"/>
          <w:szCs w:val="22"/>
          <w:lang w:val="en-US"/>
        </w:rPr>
        <w:t xml:space="preserve"> provides </w:t>
      </w:r>
      <w:r w:rsidR="00327D23" w:rsidRPr="00046D11">
        <w:rPr>
          <w:rFonts w:ascii="Aptos Display" w:eastAsia="Corbel" w:hAnsi="Aptos Display" w:cs="Corbel"/>
          <w:color w:val="auto"/>
          <w:sz w:val="22"/>
          <w:szCs w:val="22"/>
          <w:lang w:val="en-US"/>
        </w:rPr>
        <w:t xml:space="preserve">a framework that ensures the highest standards of probity and transparency are maintained throughout GCPHN </w:t>
      </w:r>
      <w:r w:rsidR="006A2C5E" w:rsidRPr="00046D11">
        <w:rPr>
          <w:rFonts w:ascii="Aptos Display" w:eastAsia="Corbel" w:hAnsi="Aptos Display" w:cs="Corbel"/>
          <w:color w:val="auto"/>
          <w:sz w:val="22"/>
          <w:szCs w:val="22"/>
          <w:lang w:val="en-US"/>
        </w:rPr>
        <w:t>procurement</w:t>
      </w:r>
      <w:r w:rsidR="00327D23" w:rsidRPr="00046D11">
        <w:rPr>
          <w:rFonts w:ascii="Aptos Display" w:eastAsia="Corbel" w:hAnsi="Aptos Display" w:cs="Corbel"/>
          <w:color w:val="auto"/>
          <w:sz w:val="22"/>
          <w:szCs w:val="22"/>
          <w:lang w:val="en-US"/>
        </w:rPr>
        <w:t xml:space="preserve"> processes</w:t>
      </w:r>
      <w:r w:rsidR="00375788" w:rsidRPr="00046D11">
        <w:rPr>
          <w:rFonts w:ascii="Aptos Display" w:eastAsia="Corbel" w:hAnsi="Aptos Display" w:cs="Corbel"/>
          <w:color w:val="auto"/>
          <w:sz w:val="22"/>
          <w:szCs w:val="22"/>
          <w:lang w:val="en-US"/>
        </w:rPr>
        <w:t xml:space="preserve"> and </w:t>
      </w:r>
      <w:r w:rsidR="00327D23" w:rsidRPr="00046D11">
        <w:rPr>
          <w:rFonts w:ascii="Aptos Display" w:eastAsia="Corbel" w:hAnsi="Aptos Display" w:cs="Corbel"/>
          <w:color w:val="auto"/>
          <w:sz w:val="22"/>
          <w:szCs w:val="22"/>
          <w:lang w:val="en-US"/>
        </w:rPr>
        <w:t>ensure</w:t>
      </w:r>
      <w:r w:rsidR="00B77361" w:rsidRPr="00046D11">
        <w:rPr>
          <w:rFonts w:ascii="Aptos Display" w:eastAsia="Corbel" w:hAnsi="Aptos Display" w:cs="Corbel"/>
          <w:color w:val="auto"/>
          <w:sz w:val="22"/>
          <w:szCs w:val="22"/>
          <w:lang w:val="en-US"/>
        </w:rPr>
        <w:t>s</w:t>
      </w:r>
      <w:r w:rsidR="00327D23" w:rsidRPr="00046D11">
        <w:rPr>
          <w:rFonts w:ascii="Aptos Display" w:eastAsia="Corbel" w:hAnsi="Aptos Display" w:cs="Corbel"/>
          <w:color w:val="auto"/>
          <w:sz w:val="22"/>
          <w:szCs w:val="22"/>
          <w:lang w:val="en-US"/>
        </w:rPr>
        <w:t xml:space="preserve">: </w:t>
      </w:r>
    </w:p>
    <w:p w14:paraId="34AE187C" w14:textId="52673C2E" w:rsidR="00327D23" w:rsidRPr="00046D11" w:rsidRDefault="00FA57DF" w:rsidP="008C60A5">
      <w:pPr>
        <w:pStyle w:val="Default"/>
        <w:numPr>
          <w:ilvl w:val="0"/>
          <w:numId w:val="4"/>
        </w:numPr>
        <w:spacing w:after="120"/>
        <w:ind w:left="884" w:hanging="442"/>
        <w:contextualSpacing/>
        <w:jc w:val="both"/>
        <w:rPr>
          <w:rFonts w:ascii="Aptos Display" w:eastAsia="Corbel" w:hAnsi="Aptos Display" w:cs="Corbel"/>
          <w:color w:val="auto"/>
          <w:sz w:val="22"/>
          <w:szCs w:val="22"/>
          <w:lang w:val="en-US"/>
        </w:rPr>
      </w:pPr>
      <w:r w:rsidRPr="00046D11">
        <w:rPr>
          <w:rFonts w:ascii="Aptos Display" w:eastAsia="Corbel" w:hAnsi="Aptos Display" w:cs="Corbel"/>
          <w:color w:val="auto"/>
          <w:sz w:val="22"/>
          <w:szCs w:val="22"/>
          <w:lang w:val="en-US"/>
        </w:rPr>
        <w:t>T</w:t>
      </w:r>
      <w:r w:rsidR="00327D23" w:rsidRPr="00046D11">
        <w:rPr>
          <w:rFonts w:ascii="Aptos Display" w:eastAsia="Corbel" w:hAnsi="Aptos Display" w:cs="Corbel"/>
          <w:color w:val="auto"/>
          <w:sz w:val="22"/>
          <w:szCs w:val="22"/>
          <w:lang w:val="en-US"/>
        </w:rPr>
        <w:t>he process</w:t>
      </w:r>
      <w:r w:rsidR="00E33CD6" w:rsidRPr="00046D11">
        <w:rPr>
          <w:rFonts w:ascii="Aptos Display" w:eastAsia="Corbel" w:hAnsi="Aptos Display" w:cs="Corbel"/>
          <w:color w:val="auto"/>
          <w:sz w:val="22"/>
          <w:szCs w:val="22"/>
          <w:lang w:val="en-US"/>
        </w:rPr>
        <w:t xml:space="preserve"> </w:t>
      </w:r>
      <w:r w:rsidR="00327D23" w:rsidRPr="00046D11">
        <w:rPr>
          <w:rFonts w:ascii="Aptos Display" w:eastAsia="Corbel" w:hAnsi="Aptos Display" w:cs="Corbel"/>
          <w:color w:val="auto"/>
          <w:sz w:val="22"/>
          <w:szCs w:val="22"/>
          <w:lang w:val="en-US"/>
        </w:rPr>
        <w:t xml:space="preserve">set out in the </w:t>
      </w:r>
      <w:r w:rsidR="007A4E85" w:rsidRPr="00046D11">
        <w:rPr>
          <w:rFonts w:ascii="Aptos Display" w:eastAsia="Corbel" w:hAnsi="Aptos Display" w:cs="Corbel"/>
          <w:color w:val="auto"/>
          <w:sz w:val="22"/>
          <w:szCs w:val="22"/>
          <w:lang w:val="en-US"/>
        </w:rPr>
        <w:t>procurement</w:t>
      </w:r>
      <w:r w:rsidR="00327D23" w:rsidRPr="00046D11">
        <w:rPr>
          <w:rFonts w:ascii="Aptos Display" w:eastAsia="Corbel" w:hAnsi="Aptos Display" w:cs="Corbel"/>
          <w:color w:val="auto"/>
          <w:sz w:val="22"/>
          <w:szCs w:val="22"/>
          <w:lang w:val="en-US"/>
        </w:rPr>
        <w:t xml:space="preserve"> plan</w:t>
      </w:r>
      <w:r w:rsidR="00AA63FC" w:rsidRPr="00046D11">
        <w:rPr>
          <w:rFonts w:ascii="Aptos Display" w:eastAsia="Corbel" w:hAnsi="Aptos Display" w:cs="Corbel"/>
          <w:color w:val="auto"/>
          <w:sz w:val="22"/>
          <w:szCs w:val="22"/>
          <w:lang w:val="en-US"/>
        </w:rPr>
        <w:t xml:space="preserve"> </w:t>
      </w:r>
      <w:r w:rsidR="004200BD" w:rsidRPr="00046D11">
        <w:rPr>
          <w:rFonts w:ascii="Aptos Display" w:eastAsia="Corbel" w:hAnsi="Aptos Display" w:cs="Corbel"/>
          <w:color w:val="auto"/>
          <w:sz w:val="22"/>
          <w:szCs w:val="22"/>
          <w:lang w:val="en-US"/>
        </w:rPr>
        <w:t>and procurement approach</w:t>
      </w:r>
      <w:r w:rsidR="007133CE" w:rsidRPr="00046D11">
        <w:rPr>
          <w:rFonts w:ascii="Aptos Display" w:eastAsia="Corbel" w:hAnsi="Aptos Display" w:cs="Corbel"/>
          <w:color w:val="auto"/>
          <w:sz w:val="22"/>
          <w:szCs w:val="22"/>
          <w:lang w:val="en-US"/>
        </w:rPr>
        <w:t xml:space="preserve"> document </w:t>
      </w:r>
      <w:r w:rsidR="00AA63FC" w:rsidRPr="00046D11">
        <w:rPr>
          <w:rFonts w:ascii="Aptos Display" w:eastAsia="Corbel" w:hAnsi="Aptos Display" w:cs="Corbel"/>
          <w:color w:val="auto"/>
          <w:sz w:val="22"/>
          <w:szCs w:val="22"/>
          <w:lang w:val="en-US"/>
        </w:rPr>
        <w:t>i</w:t>
      </w:r>
      <w:r w:rsidR="00327D23" w:rsidRPr="00046D11">
        <w:rPr>
          <w:rFonts w:ascii="Aptos Display" w:eastAsia="Corbel" w:hAnsi="Aptos Display" w:cs="Corbel"/>
          <w:color w:val="auto"/>
          <w:sz w:val="22"/>
          <w:szCs w:val="22"/>
          <w:lang w:val="en-US"/>
        </w:rPr>
        <w:t xml:space="preserve">s </w:t>
      </w:r>
      <w:r w:rsidR="00B17BB1" w:rsidRPr="00046D11">
        <w:rPr>
          <w:rFonts w:ascii="Aptos Display" w:eastAsia="Corbel" w:hAnsi="Aptos Display" w:cs="Corbel"/>
          <w:color w:val="auto"/>
          <w:sz w:val="22"/>
          <w:szCs w:val="22"/>
          <w:lang w:val="en-US"/>
        </w:rPr>
        <w:t>followed.</w:t>
      </w:r>
      <w:r w:rsidR="00327D23" w:rsidRPr="00046D11">
        <w:rPr>
          <w:rFonts w:ascii="Aptos Display" w:eastAsia="Corbel" w:hAnsi="Aptos Display" w:cs="Corbel"/>
          <w:color w:val="auto"/>
          <w:sz w:val="22"/>
          <w:szCs w:val="22"/>
          <w:lang w:val="en-US"/>
        </w:rPr>
        <w:t xml:space="preserve"> </w:t>
      </w:r>
    </w:p>
    <w:p w14:paraId="7AB5B2C0" w14:textId="0E8E4CE1" w:rsidR="007A4E85" w:rsidRPr="00046D11" w:rsidRDefault="00FA57DF" w:rsidP="008C60A5">
      <w:pPr>
        <w:pStyle w:val="Default"/>
        <w:numPr>
          <w:ilvl w:val="0"/>
          <w:numId w:val="4"/>
        </w:numPr>
        <w:spacing w:after="120"/>
        <w:ind w:left="884" w:hanging="442"/>
        <w:contextualSpacing/>
        <w:jc w:val="both"/>
        <w:rPr>
          <w:rFonts w:ascii="Aptos Display" w:eastAsia="Corbel" w:hAnsi="Aptos Display" w:cs="Corbel"/>
          <w:color w:val="auto"/>
          <w:sz w:val="22"/>
          <w:szCs w:val="22"/>
          <w:lang w:val="en-US"/>
        </w:rPr>
      </w:pPr>
      <w:r w:rsidRPr="00046D11">
        <w:rPr>
          <w:rFonts w:ascii="Aptos Display" w:eastAsia="Corbel" w:hAnsi="Aptos Display" w:cs="Corbel"/>
          <w:color w:val="auto"/>
          <w:sz w:val="22"/>
          <w:szCs w:val="22"/>
          <w:lang w:val="en-US"/>
        </w:rPr>
        <w:t>T</w:t>
      </w:r>
      <w:r w:rsidR="00327D23" w:rsidRPr="00046D11">
        <w:rPr>
          <w:rFonts w:ascii="Aptos Display" w:eastAsia="Corbel" w:hAnsi="Aptos Display" w:cs="Corbel"/>
          <w:color w:val="auto"/>
          <w:sz w:val="22"/>
          <w:szCs w:val="22"/>
          <w:lang w:val="en-US"/>
        </w:rPr>
        <w:t>he process is conducted objectively and consistently</w:t>
      </w:r>
      <w:r w:rsidR="00B17BB1">
        <w:rPr>
          <w:rFonts w:ascii="Aptos Display" w:eastAsia="Corbel" w:hAnsi="Aptos Display" w:cs="Corbel"/>
          <w:color w:val="auto"/>
          <w:sz w:val="22"/>
          <w:szCs w:val="22"/>
          <w:lang w:val="en-US"/>
        </w:rPr>
        <w:t>.</w:t>
      </w:r>
    </w:p>
    <w:p w14:paraId="4D867827" w14:textId="79D44FB0" w:rsidR="007A4E85" w:rsidRPr="00046D11" w:rsidRDefault="00FA57DF" w:rsidP="008C60A5">
      <w:pPr>
        <w:pStyle w:val="Default"/>
        <w:numPr>
          <w:ilvl w:val="0"/>
          <w:numId w:val="4"/>
        </w:numPr>
        <w:spacing w:after="120"/>
        <w:ind w:left="884" w:hanging="442"/>
        <w:contextualSpacing/>
        <w:jc w:val="both"/>
        <w:rPr>
          <w:rFonts w:ascii="Aptos Display" w:eastAsia="Corbel" w:hAnsi="Aptos Display" w:cs="Corbel"/>
          <w:color w:val="auto"/>
          <w:sz w:val="22"/>
          <w:szCs w:val="22"/>
          <w:lang w:val="en-US"/>
        </w:rPr>
      </w:pPr>
      <w:r w:rsidRPr="00046D11">
        <w:rPr>
          <w:rFonts w:ascii="Aptos Display" w:eastAsia="Corbel" w:hAnsi="Aptos Display" w:cs="Corbel"/>
          <w:color w:val="auto"/>
          <w:sz w:val="22"/>
          <w:szCs w:val="22"/>
          <w:lang w:val="en-US"/>
        </w:rPr>
        <w:t>C</w:t>
      </w:r>
      <w:r w:rsidR="00327D23" w:rsidRPr="00046D11">
        <w:rPr>
          <w:rFonts w:ascii="Aptos Display" w:eastAsia="Corbel" w:hAnsi="Aptos Display" w:cs="Corbel"/>
          <w:color w:val="auto"/>
          <w:sz w:val="22"/>
          <w:szCs w:val="22"/>
          <w:lang w:val="en-US"/>
        </w:rPr>
        <w:t xml:space="preserve">onfidential information is secured and </w:t>
      </w:r>
      <w:r w:rsidR="007E60EF" w:rsidRPr="00046D11">
        <w:rPr>
          <w:rFonts w:ascii="Aptos Display" w:eastAsia="Corbel" w:hAnsi="Aptos Display" w:cs="Corbel"/>
          <w:color w:val="auto"/>
          <w:sz w:val="22"/>
          <w:szCs w:val="22"/>
          <w:lang w:val="en-US"/>
        </w:rPr>
        <w:t xml:space="preserve">available </w:t>
      </w:r>
      <w:r w:rsidR="00AA63FC" w:rsidRPr="00046D11">
        <w:rPr>
          <w:rFonts w:ascii="Aptos Display" w:eastAsia="Corbel" w:hAnsi="Aptos Display" w:cs="Corbel"/>
          <w:color w:val="auto"/>
          <w:sz w:val="22"/>
          <w:szCs w:val="22"/>
          <w:lang w:val="en-US"/>
        </w:rPr>
        <w:t xml:space="preserve">to </w:t>
      </w:r>
      <w:r w:rsidR="007E60EF" w:rsidRPr="00046D11">
        <w:rPr>
          <w:rFonts w:ascii="Aptos Display" w:eastAsia="Corbel" w:hAnsi="Aptos Display" w:cs="Corbel"/>
          <w:color w:val="auto"/>
          <w:sz w:val="22"/>
          <w:szCs w:val="22"/>
          <w:lang w:val="en-US"/>
        </w:rPr>
        <w:t>only the stakeholders involved</w:t>
      </w:r>
      <w:r w:rsidR="00B17BB1">
        <w:rPr>
          <w:rFonts w:ascii="Aptos Display" w:eastAsia="Corbel" w:hAnsi="Aptos Display" w:cs="Corbel"/>
          <w:color w:val="auto"/>
          <w:sz w:val="22"/>
          <w:szCs w:val="22"/>
          <w:lang w:val="en-US"/>
        </w:rPr>
        <w:t>.</w:t>
      </w:r>
    </w:p>
    <w:p w14:paraId="64BC5F52" w14:textId="7D34EF34" w:rsidR="00327D23" w:rsidRPr="00046D11" w:rsidRDefault="00FA57DF" w:rsidP="008C60A5">
      <w:pPr>
        <w:pStyle w:val="Default"/>
        <w:numPr>
          <w:ilvl w:val="0"/>
          <w:numId w:val="4"/>
        </w:numPr>
        <w:spacing w:after="120"/>
        <w:ind w:left="884" w:hanging="442"/>
        <w:contextualSpacing/>
        <w:jc w:val="both"/>
        <w:rPr>
          <w:rFonts w:ascii="Aptos Display" w:eastAsia="Corbel" w:hAnsi="Aptos Display" w:cs="Corbel"/>
          <w:color w:val="auto"/>
          <w:sz w:val="22"/>
          <w:szCs w:val="22"/>
          <w:lang w:val="en-US"/>
        </w:rPr>
      </w:pPr>
      <w:r w:rsidRPr="00046D11">
        <w:rPr>
          <w:rFonts w:ascii="Aptos Display" w:eastAsia="Corbel" w:hAnsi="Aptos Display" w:cs="Corbel"/>
          <w:color w:val="auto"/>
          <w:sz w:val="22"/>
          <w:szCs w:val="22"/>
          <w:lang w:val="en-US"/>
        </w:rPr>
        <w:t>A</w:t>
      </w:r>
      <w:r w:rsidR="00327D23" w:rsidRPr="00046D11">
        <w:rPr>
          <w:rFonts w:ascii="Aptos Display" w:eastAsia="Corbel" w:hAnsi="Aptos Display" w:cs="Corbel"/>
          <w:color w:val="auto"/>
          <w:sz w:val="22"/>
          <w:szCs w:val="22"/>
          <w:lang w:val="en-US"/>
        </w:rPr>
        <w:t>ll actual, potential or perceived conflicts of interest are addressed and effectively managed</w:t>
      </w:r>
      <w:r w:rsidR="00B17BB1">
        <w:rPr>
          <w:rFonts w:ascii="Aptos Display" w:eastAsia="Corbel" w:hAnsi="Aptos Display" w:cs="Corbel"/>
          <w:color w:val="auto"/>
          <w:sz w:val="22"/>
          <w:szCs w:val="22"/>
          <w:lang w:val="en-US"/>
        </w:rPr>
        <w:t>.</w:t>
      </w:r>
    </w:p>
    <w:p w14:paraId="29A1A8BA" w14:textId="796663FE" w:rsidR="00327D23" w:rsidRPr="00046D11" w:rsidRDefault="00FA57DF" w:rsidP="008C60A5">
      <w:pPr>
        <w:pStyle w:val="Default"/>
        <w:numPr>
          <w:ilvl w:val="0"/>
          <w:numId w:val="4"/>
        </w:numPr>
        <w:spacing w:after="120"/>
        <w:ind w:left="884" w:hanging="442"/>
        <w:contextualSpacing/>
        <w:jc w:val="both"/>
        <w:rPr>
          <w:rFonts w:ascii="Aptos Display" w:eastAsia="Corbel" w:hAnsi="Aptos Display" w:cs="Corbel"/>
          <w:color w:val="auto"/>
          <w:sz w:val="22"/>
          <w:szCs w:val="22"/>
          <w:lang w:val="en-US"/>
        </w:rPr>
      </w:pPr>
      <w:r w:rsidRPr="00046D11">
        <w:rPr>
          <w:rFonts w:ascii="Aptos Display" w:eastAsia="Corbel" w:hAnsi="Aptos Display" w:cs="Corbel"/>
          <w:color w:val="auto"/>
          <w:sz w:val="22"/>
          <w:szCs w:val="22"/>
          <w:lang w:val="en-US"/>
        </w:rPr>
        <w:t>A</w:t>
      </w:r>
      <w:r w:rsidR="00327D23" w:rsidRPr="00046D11">
        <w:rPr>
          <w:rFonts w:ascii="Aptos Display" w:eastAsia="Corbel" w:hAnsi="Aptos Display" w:cs="Corbel"/>
          <w:color w:val="auto"/>
          <w:sz w:val="22"/>
          <w:szCs w:val="22"/>
          <w:lang w:val="en-US"/>
        </w:rPr>
        <w:t>ccountability is maintained</w:t>
      </w:r>
      <w:r w:rsidR="00B17BB1">
        <w:rPr>
          <w:rFonts w:ascii="Aptos Display" w:eastAsia="Corbel" w:hAnsi="Aptos Display" w:cs="Corbel"/>
          <w:color w:val="auto"/>
          <w:sz w:val="22"/>
          <w:szCs w:val="22"/>
          <w:lang w:val="en-US"/>
        </w:rPr>
        <w:t>.</w:t>
      </w:r>
    </w:p>
    <w:p w14:paraId="6497D338" w14:textId="7AEC082B" w:rsidR="00327D23" w:rsidRPr="00046D11" w:rsidRDefault="00FA57DF" w:rsidP="008C60A5">
      <w:pPr>
        <w:pStyle w:val="Default"/>
        <w:numPr>
          <w:ilvl w:val="0"/>
          <w:numId w:val="4"/>
        </w:numPr>
        <w:spacing w:after="120"/>
        <w:ind w:left="884" w:hanging="442"/>
        <w:contextualSpacing/>
        <w:jc w:val="both"/>
        <w:rPr>
          <w:rFonts w:ascii="Aptos Display" w:eastAsia="Corbel" w:hAnsi="Aptos Display" w:cs="Corbel"/>
          <w:color w:val="auto"/>
          <w:sz w:val="22"/>
          <w:szCs w:val="22"/>
          <w:lang w:val="en-US"/>
        </w:rPr>
      </w:pPr>
      <w:r w:rsidRPr="00046D11">
        <w:rPr>
          <w:rFonts w:ascii="Aptos Display" w:eastAsia="Corbel" w:hAnsi="Aptos Display" w:cs="Corbel"/>
          <w:color w:val="auto"/>
          <w:sz w:val="22"/>
          <w:szCs w:val="22"/>
          <w:lang w:val="en-US"/>
        </w:rPr>
        <w:t>D</w:t>
      </w:r>
      <w:r w:rsidR="00327D23" w:rsidRPr="00046D11">
        <w:rPr>
          <w:rFonts w:ascii="Aptos Display" w:eastAsia="Corbel" w:hAnsi="Aptos Display" w:cs="Corbel"/>
          <w:color w:val="auto"/>
          <w:sz w:val="22"/>
          <w:szCs w:val="22"/>
          <w:lang w:val="en-US"/>
        </w:rPr>
        <w:t>ecisions and processes are</w:t>
      </w:r>
      <w:r w:rsidR="00166199" w:rsidRPr="00046D11">
        <w:rPr>
          <w:rFonts w:ascii="Aptos Display" w:eastAsia="Corbel" w:hAnsi="Aptos Display" w:cs="Corbel"/>
          <w:color w:val="auto"/>
          <w:sz w:val="22"/>
          <w:szCs w:val="22"/>
          <w:lang w:val="en-US"/>
        </w:rPr>
        <w:t xml:space="preserve"> documented,</w:t>
      </w:r>
      <w:r w:rsidR="00327D23" w:rsidRPr="00046D11">
        <w:rPr>
          <w:rFonts w:ascii="Aptos Display" w:eastAsia="Corbel" w:hAnsi="Aptos Display" w:cs="Corbel"/>
          <w:color w:val="auto"/>
          <w:sz w:val="22"/>
          <w:szCs w:val="22"/>
          <w:lang w:val="en-US"/>
        </w:rPr>
        <w:t xml:space="preserve"> defensible</w:t>
      </w:r>
      <w:r w:rsidR="006B726F" w:rsidRPr="00046D11">
        <w:rPr>
          <w:rFonts w:ascii="Aptos Display" w:eastAsia="Corbel" w:hAnsi="Aptos Display" w:cs="Corbel"/>
          <w:color w:val="auto"/>
          <w:sz w:val="22"/>
          <w:szCs w:val="22"/>
          <w:lang w:val="en-US"/>
        </w:rPr>
        <w:t xml:space="preserve"> and support high standards of probity</w:t>
      </w:r>
      <w:r w:rsidR="00B17BB1">
        <w:rPr>
          <w:rFonts w:ascii="Aptos Display" w:eastAsia="Corbel" w:hAnsi="Aptos Display" w:cs="Corbel"/>
          <w:color w:val="auto"/>
          <w:sz w:val="22"/>
          <w:szCs w:val="22"/>
          <w:lang w:val="en-US"/>
        </w:rPr>
        <w:t>.</w:t>
      </w:r>
    </w:p>
    <w:p w14:paraId="2F8F0A6C" w14:textId="55955C21" w:rsidR="00327D23" w:rsidRPr="00046D11" w:rsidRDefault="00FA57DF" w:rsidP="008C60A5">
      <w:pPr>
        <w:pStyle w:val="Default"/>
        <w:numPr>
          <w:ilvl w:val="0"/>
          <w:numId w:val="4"/>
        </w:numPr>
        <w:spacing w:after="120"/>
        <w:ind w:left="884" w:hanging="442"/>
        <w:contextualSpacing/>
        <w:jc w:val="both"/>
        <w:rPr>
          <w:rFonts w:ascii="Aptos Display" w:eastAsia="Corbel" w:hAnsi="Aptos Display" w:cs="Corbel"/>
          <w:color w:val="auto"/>
          <w:sz w:val="22"/>
          <w:szCs w:val="22"/>
          <w:lang w:val="en-US"/>
        </w:rPr>
      </w:pPr>
      <w:r w:rsidRPr="00046D11">
        <w:rPr>
          <w:rFonts w:ascii="Aptos Display" w:eastAsia="Corbel" w:hAnsi="Aptos Display" w:cs="Corbel"/>
          <w:color w:val="auto"/>
          <w:sz w:val="22"/>
          <w:szCs w:val="22"/>
          <w:lang w:val="en-US"/>
        </w:rPr>
        <w:t>I</w:t>
      </w:r>
      <w:r w:rsidR="00327D23" w:rsidRPr="00046D11">
        <w:rPr>
          <w:rFonts w:ascii="Aptos Display" w:eastAsia="Corbel" w:hAnsi="Aptos Display" w:cs="Corbel"/>
          <w:color w:val="auto"/>
          <w:sz w:val="22"/>
          <w:szCs w:val="22"/>
          <w:lang w:val="en-US"/>
        </w:rPr>
        <w:t>dentify probity risks that arise and record the mitigation actions required to address these risks</w:t>
      </w:r>
      <w:r w:rsidR="00B17BB1">
        <w:rPr>
          <w:rFonts w:ascii="Aptos Display" w:eastAsia="Corbel" w:hAnsi="Aptos Display" w:cs="Corbel"/>
          <w:color w:val="auto"/>
          <w:sz w:val="22"/>
          <w:szCs w:val="22"/>
          <w:lang w:val="en-US"/>
        </w:rPr>
        <w:t>.</w:t>
      </w:r>
    </w:p>
    <w:p w14:paraId="1D8FAD79" w14:textId="1D7D48BE" w:rsidR="00327D23" w:rsidRPr="00046D11" w:rsidRDefault="00327D23" w:rsidP="008C60A5">
      <w:pPr>
        <w:pStyle w:val="Default"/>
        <w:numPr>
          <w:ilvl w:val="0"/>
          <w:numId w:val="4"/>
        </w:numPr>
        <w:spacing w:after="120"/>
        <w:ind w:left="884" w:hanging="442"/>
        <w:contextualSpacing/>
        <w:jc w:val="both"/>
        <w:rPr>
          <w:rFonts w:ascii="Aptos Display" w:eastAsia="Corbel" w:hAnsi="Aptos Display" w:cs="Corbel"/>
          <w:color w:val="auto"/>
          <w:sz w:val="22"/>
          <w:szCs w:val="22"/>
          <w:lang w:val="en-US"/>
        </w:rPr>
      </w:pPr>
      <w:r w:rsidRPr="00046D11">
        <w:rPr>
          <w:rFonts w:ascii="Aptos Display" w:eastAsia="Corbel" w:hAnsi="Aptos Display" w:cs="Corbel"/>
          <w:color w:val="auto"/>
          <w:sz w:val="22"/>
          <w:szCs w:val="22"/>
          <w:lang w:val="en-US"/>
        </w:rPr>
        <w:t xml:space="preserve">GCPHN achieves value for money </w:t>
      </w:r>
    </w:p>
    <w:p w14:paraId="1572D0E5" w14:textId="77777777" w:rsidR="00046D11" w:rsidRDefault="00046D11" w:rsidP="1D4EF1E9">
      <w:pPr>
        <w:widowControl w:val="0"/>
        <w:autoSpaceDE w:val="0"/>
        <w:autoSpaceDN w:val="0"/>
        <w:spacing w:before="8" w:after="120" w:line="240" w:lineRule="auto"/>
        <w:jc w:val="both"/>
        <w:rPr>
          <w:rFonts w:ascii="Aptos Display" w:eastAsia="Corbel" w:hAnsi="Aptos Display" w:cs="Corbel"/>
          <w:b/>
          <w:lang w:val="en-US"/>
        </w:rPr>
      </w:pPr>
    </w:p>
    <w:p w14:paraId="72AF7A5D" w14:textId="69F920F9" w:rsidR="00037258" w:rsidRPr="00046D11" w:rsidRDefault="007C49F8" w:rsidP="1D4EF1E9">
      <w:pPr>
        <w:widowControl w:val="0"/>
        <w:autoSpaceDE w:val="0"/>
        <w:autoSpaceDN w:val="0"/>
        <w:spacing w:before="8" w:after="120" w:line="240" w:lineRule="auto"/>
        <w:jc w:val="both"/>
        <w:rPr>
          <w:rFonts w:ascii="Aptos Display" w:eastAsia="Corbel" w:hAnsi="Aptos Display" w:cs="Corbel"/>
          <w:b/>
          <w:lang w:val="en-US"/>
        </w:rPr>
      </w:pPr>
      <w:r w:rsidRPr="00046D11">
        <w:rPr>
          <w:rFonts w:ascii="Aptos Display" w:eastAsia="Corbel" w:hAnsi="Aptos Display" w:cs="Corbel"/>
          <w:b/>
          <w:lang w:val="en-US"/>
        </w:rPr>
        <w:lastRenderedPageBreak/>
        <w:t>Fairness and impartiality</w:t>
      </w:r>
    </w:p>
    <w:p w14:paraId="0F20DD2F" w14:textId="0F1C4070" w:rsidR="00037258" w:rsidRPr="00046D11" w:rsidRDefault="00C478A2" w:rsidP="1D4EF1E9">
      <w:pPr>
        <w:ind w:hanging="11"/>
        <w:jc w:val="both"/>
        <w:rPr>
          <w:rFonts w:ascii="Aptos Display" w:eastAsia="Corbel" w:hAnsi="Aptos Display" w:cs="Corbel"/>
          <w:lang w:val="en-US"/>
        </w:rPr>
      </w:pPr>
      <w:r w:rsidRPr="00046D11">
        <w:rPr>
          <w:rFonts w:ascii="Aptos Display" w:eastAsia="Corbel" w:hAnsi="Aptos Display" w:cs="Corbel"/>
          <w:lang w:val="en-US"/>
        </w:rPr>
        <w:t>Fairness and impartiality in procurement means treating all potential suppliers equally and without bias throughout the entire procurement process. </w:t>
      </w:r>
    </w:p>
    <w:p w14:paraId="14B43C74" w14:textId="615E67B7" w:rsidR="005F0301" w:rsidRPr="00046D11" w:rsidRDefault="00E04B36" w:rsidP="1D4EF1E9">
      <w:pPr>
        <w:ind w:hanging="11"/>
        <w:jc w:val="both"/>
        <w:rPr>
          <w:rFonts w:ascii="Aptos Display" w:eastAsia="Corbel" w:hAnsi="Aptos Display" w:cs="Corbel"/>
          <w:lang w:val="en-US"/>
        </w:rPr>
      </w:pPr>
      <w:r w:rsidRPr="00046D11">
        <w:rPr>
          <w:rFonts w:ascii="Aptos Display" w:eastAsia="Corbel" w:hAnsi="Aptos Display" w:cs="Corbel"/>
          <w:lang w:val="en-US"/>
        </w:rPr>
        <w:t>The following provides guidance at each stage:</w:t>
      </w:r>
    </w:p>
    <w:tbl>
      <w:tblPr>
        <w:tblStyle w:val="TableGrid"/>
        <w:tblW w:w="5000" w:type="pct"/>
        <w:tblLook w:val="04A0" w:firstRow="1" w:lastRow="0" w:firstColumn="1" w:lastColumn="0" w:noHBand="0" w:noVBand="1"/>
      </w:tblPr>
      <w:tblGrid>
        <w:gridCol w:w="1776"/>
        <w:gridCol w:w="7994"/>
      </w:tblGrid>
      <w:tr w:rsidR="00037258" w:rsidRPr="00046D11" w14:paraId="5D5DB1CD" w14:textId="77777777" w:rsidTr="00B840F8">
        <w:trPr>
          <w:trHeight w:val="2117"/>
        </w:trPr>
        <w:tc>
          <w:tcPr>
            <w:tcW w:w="909" w:type="pct"/>
            <w:shd w:val="clear" w:color="auto" w:fill="0070C0"/>
          </w:tcPr>
          <w:p w14:paraId="7AD21675" w14:textId="77777777" w:rsidR="00037258" w:rsidRPr="00046D11" w:rsidRDefault="00037258" w:rsidP="1D4EF1E9">
            <w:pPr>
              <w:jc w:val="both"/>
              <w:rPr>
                <w:rFonts w:ascii="Aptos Display" w:hAnsi="Aptos Display"/>
                <w:b/>
                <w:lang w:eastAsia="en-AU"/>
              </w:rPr>
            </w:pPr>
            <w:bookmarkStart w:id="1" w:name="_Hlk485901593"/>
            <w:r w:rsidRPr="00046D11">
              <w:rPr>
                <w:rFonts w:ascii="Aptos Display" w:hAnsi="Aptos Display"/>
                <w:b/>
                <w:color w:val="FFFFFF" w:themeColor="background1"/>
              </w:rPr>
              <w:t>Planning</w:t>
            </w:r>
          </w:p>
        </w:tc>
        <w:tc>
          <w:tcPr>
            <w:tcW w:w="4091" w:type="pct"/>
          </w:tcPr>
          <w:p w14:paraId="68B48428" w14:textId="77777777" w:rsidR="00037258" w:rsidRPr="00046D11" w:rsidRDefault="00037258" w:rsidP="1D4EF1E9">
            <w:pPr>
              <w:pStyle w:val="ListParagraph"/>
              <w:numPr>
                <w:ilvl w:val="0"/>
                <w:numId w:val="5"/>
              </w:numPr>
              <w:spacing w:before="180" w:after="60"/>
              <w:jc w:val="both"/>
              <w:rPr>
                <w:rFonts w:ascii="Aptos Display" w:hAnsi="Aptos Display"/>
                <w:b/>
                <w:lang w:eastAsia="en-AU"/>
              </w:rPr>
            </w:pPr>
            <w:r w:rsidRPr="00046D11">
              <w:rPr>
                <w:rFonts w:ascii="Aptos Display" w:hAnsi="Aptos Display"/>
                <w:b/>
                <w:lang w:eastAsia="en-AU"/>
              </w:rPr>
              <w:t>All tender documentation should be clear and unambiguous</w:t>
            </w:r>
          </w:p>
          <w:p w14:paraId="703EE3E5" w14:textId="77777777" w:rsidR="00037258" w:rsidRPr="00046D11" w:rsidRDefault="00037258" w:rsidP="1D4EF1E9">
            <w:pPr>
              <w:ind w:left="360"/>
              <w:jc w:val="both"/>
              <w:rPr>
                <w:rFonts w:ascii="Aptos Display" w:hAnsi="Aptos Display"/>
              </w:rPr>
            </w:pPr>
            <w:r w:rsidRPr="00046D11">
              <w:rPr>
                <w:rFonts w:ascii="Aptos Display" w:hAnsi="Aptos Display"/>
                <w:lang w:eastAsia="en-AU"/>
              </w:rPr>
              <w:t>This should include the conditions of tender, tender evaluation criteria and the proposed conditions of contract. In particular mandatory criteria should be distinctly identified from desirable criteria. Ensure that any mandatory criteria are legitimately required and are as limited in number as possible.</w:t>
            </w:r>
          </w:p>
          <w:p w14:paraId="37B9C193" w14:textId="77777777" w:rsidR="00037258" w:rsidRPr="00046D11" w:rsidRDefault="00037258" w:rsidP="1D4EF1E9">
            <w:pPr>
              <w:pStyle w:val="ListParagraph"/>
              <w:numPr>
                <w:ilvl w:val="0"/>
                <w:numId w:val="5"/>
              </w:numPr>
              <w:spacing w:before="180" w:after="60"/>
              <w:jc w:val="both"/>
              <w:rPr>
                <w:rFonts w:ascii="Aptos Display" w:hAnsi="Aptos Display"/>
                <w:lang w:eastAsia="en-AU"/>
              </w:rPr>
            </w:pPr>
            <w:r w:rsidRPr="00046D11">
              <w:rPr>
                <w:rFonts w:ascii="Aptos Display" w:hAnsi="Aptos Display"/>
                <w:b/>
                <w:lang w:eastAsia="en-AU"/>
              </w:rPr>
              <w:t>Specifications must be free from bias or favouritism</w:t>
            </w:r>
          </w:p>
          <w:p w14:paraId="6C440821" w14:textId="77777777" w:rsidR="00037258" w:rsidRPr="00046D11" w:rsidRDefault="00037258" w:rsidP="1D4EF1E9">
            <w:pPr>
              <w:ind w:left="360"/>
              <w:jc w:val="both"/>
              <w:rPr>
                <w:rFonts w:ascii="Aptos Display" w:hAnsi="Aptos Display"/>
                <w:lang w:eastAsia="en-AU"/>
              </w:rPr>
            </w:pPr>
            <w:r w:rsidRPr="00046D11">
              <w:rPr>
                <w:rFonts w:ascii="Aptos Display" w:hAnsi="Aptos Display"/>
                <w:lang w:eastAsia="en-AU"/>
              </w:rPr>
              <w:t xml:space="preserve">Ensure that specifications are not written to elicit a certain outcome from the tender process, or include requirements which are not genuinely needed and </w:t>
            </w:r>
          </w:p>
          <w:p w14:paraId="5BC830D1" w14:textId="77777777" w:rsidR="00467D1C" w:rsidRPr="00046D11" w:rsidRDefault="00037258" w:rsidP="1D4EF1E9">
            <w:pPr>
              <w:ind w:left="360"/>
              <w:jc w:val="both"/>
              <w:rPr>
                <w:rFonts w:ascii="Aptos Display" w:hAnsi="Aptos Display"/>
                <w:lang w:eastAsia="en-AU"/>
              </w:rPr>
            </w:pPr>
            <w:r w:rsidRPr="00046D11">
              <w:rPr>
                <w:rFonts w:ascii="Aptos Display" w:hAnsi="Aptos Display"/>
                <w:lang w:eastAsia="en-AU"/>
              </w:rPr>
              <w:t xml:space="preserve">thereby prevent certain suppliers from tendering. </w:t>
            </w:r>
          </w:p>
          <w:p w14:paraId="4C7B8B45" w14:textId="7BD5FFED" w:rsidR="00037258" w:rsidRPr="00046D11" w:rsidRDefault="009D6158" w:rsidP="1D4EF1E9">
            <w:pPr>
              <w:pStyle w:val="ListParagraph"/>
              <w:numPr>
                <w:ilvl w:val="0"/>
                <w:numId w:val="5"/>
              </w:numPr>
              <w:spacing w:before="180" w:after="60"/>
              <w:jc w:val="both"/>
              <w:rPr>
                <w:rFonts w:ascii="Aptos Display" w:hAnsi="Aptos Display"/>
                <w:lang w:eastAsia="en-AU"/>
              </w:rPr>
            </w:pPr>
            <w:r w:rsidRPr="00046D11">
              <w:rPr>
                <w:rFonts w:ascii="Aptos Display" w:hAnsi="Aptos Display"/>
                <w:b/>
                <w:lang w:eastAsia="en-AU"/>
              </w:rPr>
              <w:t>U</w:t>
            </w:r>
            <w:r w:rsidR="00037258" w:rsidRPr="00046D11">
              <w:rPr>
                <w:rFonts w:ascii="Aptos Display" w:hAnsi="Aptos Display"/>
                <w:b/>
                <w:lang w:eastAsia="en-AU"/>
              </w:rPr>
              <w:t>se an appropriately competitive process</w:t>
            </w:r>
          </w:p>
          <w:p w14:paraId="3A9ABD51" w14:textId="3077EBDE" w:rsidR="00037258" w:rsidRPr="00046D11" w:rsidRDefault="00037258" w:rsidP="1D4EF1E9">
            <w:pPr>
              <w:ind w:left="360"/>
              <w:jc w:val="both"/>
              <w:rPr>
                <w:rFonts w:ascii="Aptos Display" w:hAnsi="Aptos Display"/>
                <w:lang w:eastAsia="en-AU"/>
              </w:rPr>
            </w:pPr>
            <w:r w:rsidRPr="00046D11">
              <w:rPr>
                <w:rFonts w:ascii="Aptos Display" w:hAnsi="Aptos Display"/>
                <w:lang w:eastAsia="en-AU"/>
              </w:rPr>
              <w:t xml:space="preserve">The type of procurement method used (open, selective or limited) must be justifiable and </w:t>
            </w:r>
            <w:r w:rsidR="00B17BB1" w:rsidRPr="00046D11">
              <w:rPr>
                <w:rFonts w:ascii="Aptos Display" w:hAnsi="Aptos Display"/>
                <w:lang w:eastAsia="en-AU"/>
              </w:rPr>
              <w:t>documented and</w:t>
            </w:r>
            <w:r w:rsidRPr="00046D11">
              <w:rPr>
                <w:rFonts w:ascii="Aptos Display" w:hAnsi="Aptos Display"/>
                <w:lang w:eastAsia="en-AU"/>
              </w:rPr>
              <w:t xml:space="preserve"> should facilitate the delivery of the best procurement outcome. For example, when considering whether to use a limited or selective method, you should ensure it is justifiable and defensible to use this procurement method.</w:t>
            </w:r>
          </w:p>
        </w:tc>
      </w:tr>
      <w:tr w:rsidR="00037258" w:rsidRPr="00046D11" w14:paraId="3130E827" w14:textId="77777777" w:rsidTr="00B840F8">
        <w:trPr>
          <w:trHeight w:val="70"/>
        </w:trPr>
        <w:tc>
          <w:tcPr>
            <w:tcW w:w="909" w:type="pct"/>
            <w:shd w:val="clear" w:color="auto" w:fill="0070C0"/>
          </w:tcPr>
          <w:p w14:paraId="6E7AFC75" w14:textId="77777777" w:rsidR="00037258" w:rsidRPr="00046D11" w:rsidRDefault="00037258" w:rsidP="1D4EF1E9">
            <w:pPr>
              <w:jc w:val="both"/>
              <w:rPr>
                <w:rFonts w:ascii="Aptos Display" w:hAnsi="Aptos Display"/>
                <w:b/>
                <w:color w:val="FFFFFF" w:themeColor="background1"/>
              </w:rPr>
            </w:pPr>
            <w:r w:rsidRPr="00046D11">
              <w:rPr>
                <w:rFonts w:ascii="Aptos Display" w:hAnsi="Aptos Display"/>
                <w:b/>
                <w:color w:val="FFFFFF" w:themeColor="background1"/>
              </w:rPr>
              <w:t>Go to market</w:t>
            </w:r>
          </w:p>
          <w:p w14:paraId="7F33FF6C" w14:textId="77777777" w:rsidR="00037258" w:rsidRPr="00046D11" w:rsidRDefault="00037258" w:rsidP="1D4EF1E9">
            <w:pPr>
              <w:jc w:val="both"/>
              <w:rPr>
                <w:rFonts w:ascii="Aptos Display" w:hAnsi="Aptos Display"/>
                <w:b/>
                <w:lang w:eastAsia="en-AU"/>
              </w:rPr>
            </w:pPr>
          </w:p>
        </w:tc>
        <w:tc>
          <w:tcPr>
            <w:tcW w:w="4091" w:type="pct"/>
          </w:tcPr>
          <w:p w14:paraId="08DADA3C" w14:textId="77777777" w:rsidR="00037258" w:rsidRPr="00046D11" w:rsidRDefault="00037258" w:rsidP="1D4EF1E9">
            <w:pPr>
              <w:pStyle w:val="ListParagraph"/>
              <w:numPr>
                <w:ilvl w:val="0"/>
                <w:numId w:val="5"/>
              </w:numPr>
              <w:spacing w:before="180" w:after="60"/>
              <w:jc w:val="both"/>
              <w:rPr>
                <w:rFonts w:ascii="Aptos Display" w:hAnsi="Aptos Display"/>
                <w:lang w:eastAsia="en-AU"/>
              </w:rPr>
            </w:pPr>
            <w:r w:rsidRPr="00046D11">
              <w:rPr>
                <w:rFonts w:ascii="Aptos Display" w:hAnsi="Aptos Display"/>
                <w:b/>
                <w:lang w:eastAsia="en-AU"/>
              </w:rPr>
              <w:t>All prospective suppliers should be given the same time to respond to a tender</w:t>
            </w:r>
          </w:p>
          <w:p w14:paraId="4EF2D6FC" w14:textId="0A90FF11" w:rsidR="00037258" w:rsidRPr="00046D11" w:rsidRDefault="00037258" w:rsidP="1D4EF1E9">
            <w:pPr>
              <w:ind w:left="360"/>
              <w:jc w:val="both"/>
              <w:rPr>
                <w:rFonts w:ascii="Aptos Display" w:hAnsi="Aptos Display"/>
                <w:lang w:eastAsia="en-AU"/>
              </w:rPr>
            </w:pPr>
            <w:r w:rsidRPr="00046D11">
              <w:rPr>
                <w:rFonts w:ascii="Aptos Display" w:hAnsi="Aptos Display"/>
                <w:lang w:eastAsia="en-AU"/>
              </w:rPr>
              <w:t>Ensure all suppliers have the same closing date and time to submit an offer. If this changes, information about the change must be given to all suppliers to ensure equal access of opportunity.</w:t>
            </w:r>
          </w:p>
          <w:p w14:paraId="552E5B4F" w14:textId="77777777" w:rsidR="00037258" w:rsidRPr="00046D11" w:rsidRDefault="00037258" w:rsidP="1D4EF1E9">
            <w:pPr>
              <w:pStyle w:val="ListParagraph"/>
              <w:numPr>
                <w:ilvl w:val="0"/>
                <w:numId w:val="6"/>
              </w:numPr>
              <w:spacing w:before="180" w:after="60"/>
              <w:jc w:val="both"/>
              <w:rPr>
                <w:rFonts w:ascii="Aptos Display" w:hAnsi="Aptos Display"/>
                <w:lang w:eastAsia="en-AU"/>
              </w:rPr>
            </w:pPr>
            <w:r w:rsidRPr="00046D11">
              <w:rPr>
                <w:rFonts w:ascii="Aptos Display" w:hAnsi="Aptos Display"/>
                <w:b/>
                <w:lang w:eastAsia="en-AU"/>
              </w:rPr>
              <w:t>All prospective suppliers should have the same level of access to materials and information during the tender process</w:t>
            </w:r>
          </w:p>
          <w:p w14:paraId="6E71D6C3" w14:textId="77777777" w:rsidR="00037258" w:rsidRPr="00046D11" w:rsidRDefault="00037258" w:rsidP="1D4EF1E9">
            <w:pPr>
              <w:ind w:left="360"/>
              <w:jc w:val="both"/>
              <w:rPr>
                <w:rFonts w:ascii="Aptos Display" w:hAnsi="Aptos Display"/>
                <w:lang w:eastAsia="en-AU"/>
              </w:rPr>
            </w:pPr>
            <w:r w:rsidRPr="00046D11">
              <w:rPr>
                <w:rFonts w:ascii="Aptos Display" w:hAnsi="Aptos Display"/>
                <w:lang w:eastAsia="en-AU"/>
              </w:rPr>
              <w:t>Responses to requests for information or clarification from any supplier which may materially assist them should be de-identified with any confidential supplier information removed and provided to all prospective suppliers.</w:t>
            </w:r>
          </w:p>
          <w:p w14:paraId="2048FAB7" w14:textId="77777777" w:rsidR="00037258" w:rsidRPr="00046D11" w:rsidRDefault="00037258" w:rsidP="1D4EF1E9">
            <w:pPr>
              <w:pStyle w:val="ListParagraph"/>
              <w:numPr>
                <w:ilvl w:val="0"/>
                <w:numId w:val="6"/>
              </w:numPr>
              <w:spacing w:before="180" w:after="60"/>
              <w:jc w:val="both"/>
              <w:rPr>
                <w:rFonts w:ascii="Aptos Display" w:hAnsi="Aptos Display"/>
                <w:b/>
                <w:lang w:eastAsia="en-AU"/>
              </w:rPr>
            </w:pPr>
            <w:r w:rsidRPr="00046D11">
              <w:rPr>
                <w:rFonts w:ascii="Aptos Display" w:hAnsi="Aptos Display"/>
                <w:b/>
                <w:lang w:eastAsia="en-AU"/>
              </w:rPr>
              <w:t>Evaluation methodology and criteria weightings should be documented and decided upon before suppliers are invited to submit offers</w:t>
            </w:r>
          </w:p>
          <w:p w14:paraId="2AC70C55" w14:textId="77777777" w:rsidR="00037258" w:rsidRPr="00046D11" w:rsidRDefault="00037258" w:rsidP="1D4EF1E9">
            <w:pPr>
              <w:ind w:left="360"/>
              <w:jc w:val="both"/>
              <w:rPr>
                <w:rFonts w:ascii="Aptos Display" w:hAnsi="Aptos Display"/>
                <w:lang w:eastAsia="en-AU"/>
              </w:rPr>
            </w:pPr>
            <w:r w:rsidRPr="00046D11">
              <w:rPr>
                <w:rFonts w:ascii="Aptos Display" w:hAnsi="Aptos Display"/>
                <w:lang w:eastAsia="en-AU"/>
              </w:rPr>
              <w:t>If any alteration to the agreed evaluation process is required, this must be communicated to all suppliers participating in the process. In turn, all suppliers must be allowed adequate time to respond to this change – this may require an extension to the closing date/time or, in some circumstances, cancellation of the current process and the commencement of a new process.</w:t>
            </w:r>
          </w:p>
        </w:tc>
      </w:tr>
      <w:tr w:rsidR="00037258" w:rsidRPr="00046D11" w14:paraId="475BDFE3" w14:textId="77777777" w:rsidTr="00B840F8">
        <w:tc>
          <w:tcPr>
            <w:tcW w:w="909" w:type="pct"/>
            <w:shd w:val="clear" w:color="auto" w:fill="0070C0"/>
          </w:tcPr>
          <w:p w14:paraId="3C4700C0" w14:textId="77777777" w:rsidR="00037258" w:rsidRPr="00046D11" w:rsidRDefault="00037258" w:rsidP="1D4EF1E9">
            <w:pPr>
              <w:jc w:val="both"/>
              <w:rPr>
                <w:rFonts w:ascii="Aptos Display" w:hAnsi="Aptos Display"/>
                <w:b/>
                <w:lang w:eastAsia="en-AU"/>
              </w:rPr>
            </w:pPr>
            <w:r w:rsidRPr="00046D11">
              <w:rPr>
                <w:rFonts w:ascii="Aptos Display" w:hAnsi="Aptos Display"/>
                <w:b/>
                <w:color w:val="FFFFFF" w:themeColor="background1"/>
              </w:rPr>
              <w:t>Evaluation</w:t>
            </w:r>
          </w:p>
        </w:tc>
        <w:tc>
          <w:tcPr>
            <w:tcW w:w="4091" w:type="pct"/>
          </w:tcPr>
          <w:p w14:paraId="0AF4A4C3" w14:textId="77777777" w:rsidR="00037258" w:rsidRPr="00046D11" w:rsidRDefault="00037258" w:rsidP="1D4EF1E9">
            <w:pPr>
              <w:pStyle w:val="ListParagraph"/>
              <w:numPr>
                <w:ilvl w:val="0"/>
                <w:numId w:val="6"/>
              </w:numPr>
              <w:spacing w:before="180" w:after="60"/>
              <w:jc w:val="both"/>
              <w:rPr>
                <w:rFonts w:ascii="Aptos Display" w:hAnsi="Aptos Display"/>
                <w:b/>
                <w:lang w:eastAsia="en-AU"/>
              </w:rPr>
            </w:pPr>
            <w:r w:rsidRPr="00046D11">
              <w:rPr>
                <w:rFonts w:ascii="Aptos Display" w:hAnsi="Aptos Display"/>
                <w:b/>
                <w:lang w:eastAsia="en-AU"/>
              </w:rPr>
              <w:t>Evaluation of supplier offers must occur against the documented criteria and be objective</w:t>
            </w:r>
          </w:p>
          <w:p w14:paraId="66618C9A" w14:textId="77777777" w:rsidR="00037258" w:rsidRPr="00046D11" w:rsidRDefault="00037258" w:rsidP="1D4EF1E9">
            <w:pPr>
              <w:ind w:left="360"/>
              <w:jc w:val="both"/>
              <w:rPr>
                <w:rFonts w:ascii="Aptos Display" w:hAnsi="Aptos Display"/>
                <w:b/>
                <w:lang w:eastAsia="en-AU"/>
              </w:rPr>
            </w:pPr>
            <w:r w:rsidRPr="00046D11">
              <w:rPr>
                <w:rFonts w:ascii="Aptos Display" w:hAnsi="Aptos Display"/>
                <w:lang w:eastAsia="en-AU"/>
              </w:rPr>
              <w:t xml:space="preserve">Each supplier’s offer must be afforded due consideration free from any preconceived ideas or bias. Information used to evaluate a supplier must be evidence-based. </w:t>
            </w:r>
          </w:p>
        </w:tc>
      </w:tr>
      <w:tr w:rsidR="00037258" w:rsidRPr="00046D11" w14:paraId="7A38A057" w14:textId="77777777" w:rsidTr="00B840F8">
        <w:tc>
          <w:tcPr>
            <w:tcW w:w="909" w:type="pct"/>
            <w:shd w:val="clear" w:color="auto" w:fill="0070C0"/>
          </w:tcPr>
          <w:p w14:paraId="2AA8EF8B" w14:textId="77777777" w:rsidR="00037258" w:rsidRPr="00046D11" w:rsidRDefault="00037258" w:rsidP="1D4EF1E9">
            <w:pPr>
              <w:jc w:val="both"/>
              <w:rPr>
                <w:rFonts w:ascii="Aptos Display" w:hAnsi="Aptos Display"/>
                <w:b/>
                <w:color w:val="FFFFFF" w:themeColor="background1"/>
              </w:rPr>
            </w:pPr>
            <w:r w:rsidRPr="00046D11">
              <w:rPr>
                <w:rFonts w:ascii="Aptos Display" w:hAnsi="Aptos Display"/>
                <w:b/>
                <w:color w:val="FFFFFF" w:themeColor="background1"/>
              </w:rPr>
              <w:t>Award</w:t>
            </w:r>
          </w:p>
        </w:tc>
        <w:tc>
          <w:tcPr>
            <w:tcW w:w="4091" w:type="pct"/>
          </w:tcPr>
          <w:p w14:paraId="2DFA6670" w14:textId="77777777" w:rsidR="00037258" w:rsidRPr="00046D11" w:rsidRDefault="00037258" w:rsidP="1D4EF1E9">
            <w:pPr>
              <w:pStyle w:val="ListParagraph"/>
              <w:numPr>
                <w:ilvl w:val="0"/>
                <w:numId w:val="6"/>
              </w:numPr>
              <w:spacing w:before="180" w:after="60"/>
              <w:jc w:val="both"/>
              <w:rPr>
                <w:rFonts w:ascii="Aptos Display" w:hAnsi="Aptos Display"/>
                <w:b/>
                <w:lang w:eastAsia="en-AU"/>
              </w:rPr>
            </w:pPr>
            <w:r w:rsidRPr="00046D11">
              <w:rPr>
                <w:rFonts w:ascii="Aptos Display" w:hAnsi="Aptos Display"/>
                <w:b/>
                <w:lang w:eastAsia="en-AU"/>
              </w:rPr>
              <w:t>The contract must be awarded in an open, clear and defensible manner.</w:t>
            </w:r>
          </w:p>
        </w:tc>
      </w:tr>
      <w:bookmarkEnd w:id="1"/>
    </w:tbl>
    <w:p w14:paraId="7E4A2DFB" w14:textId="77777777" w:rsidR="0067023A" w:rsidRPr="00046D11" w:rsidRDefault="0067023A" w:rsidP="1D4EF1E9">
      <w:pPr>
        <w:spacing w:after="120"/>
        <w:jc w:val="both"/>
        <w:rPr>
          <w:rFonts w:ascii="Aptos Display" w:eastAsiaTheme="majorEastAsia" w:hAnsi="Aptos Display" w:cstheme="majorBidi"/>
          <w:b/>
          <w:color w:val="515251"/>
          <w:lang w:val="en-US"/>
        </w:rPr>
      </w:pPr>
    </w:p>
    <w:p w14:paraId="3A7599AC" w14:textId="77777777" w:rsidR="002F574B" w:rsidRDefault="002F574B" w:rsidP="1D4EF1E9">
      <w:pPr>
        <w:ind w:left="992" w:hanging="992"/>
        <w:jc w:val="both"/>
        <w:rPr>
          <w:rFonts w:ascii="Aptos Display" w:eastAsia="Corbel" w:hAnsi="Aptos Display" w:cs="Corbel"/>
          <w:b/>
          <w:lang w:val="en-US"/>
        </w:rPr>
      </w:pPr>
    </w:p>
    <w:p w14:paraId="1148988E" w14:textId="77777777" w:rsidR="002F574B" w:rsidRDefault="002F574B" w:rsidP="1D4EF1E9">
      <w:pPr>
        <w:ind w:left="992" w:hanging="992"/>
        <w:jc w:val="both"/>
        <w:rPr>
          <w:rFonts w:ascii="Aptos Display" w:eastAsia="Corbel" w:hAnsi="Aptos Display" w:cs="Corbel"/>
          <w:b/>
          <w:lang w:val="en-US"/>
        </w:rPr>
      </w:pPr>
    </w:p>
    <w:p w14:paraId="480DF69E" w14:textId="4C9528BC" w:rsidR="00BC0D26" w:rsidRPr="00046D11" w:rsidRDefault="0067023A" w:rsidP="1D4EF1E9">
      <w:pPr>
        <w:ind w:left="992" w:hanging="992"/>
        <w:jc w:val="both"/>
        <w:rPr>
          <w:rFonts w:ascii="Aptos Display" w:eastAsia="Corbel" w:hAnsi="Aptos Display" w:cs="Corbel"/>
          <w:b/>
          <w:lang w:val="en-US"/>
        </w:rPr>
      </w:pPr>
      <w:r w:rsidRPr="00046D11">
        <w:rPr>
          <w:rFonts w:ascii="Aptos Display" w:eastAsia="Corbel" w:hAnsi="Aptos Display" w:cs="Corbel"/>
          <w:b/>
          <w:lang w:val="en-US"/>
        </w:rPr>
        <w:lastRenderedPageBreak/>
        <w:t>Accountabil</w:t>
      </w:r>
      <w:r w:rsidR="00C463AF" w:rsidRPr="00046D11">
        <w:rPr>
          <w:rFonts w:ascii="Aptos Display" w:eastAsia="Corbel" w:hAnsi="Aptos Display" w:cs="Corbel"/>
          <w:b/>
          <w:lang w:val="en-US"/>
        </w:rPr>
        <w:t>i</w:t>
      </w:r>
      <w:r w:rsidRPr="00046D11">
        <w:rPr>
          <w:rFonts w:ascii="Aptos Display" w:eastAsia="Corbel" w:hAnsi="Aptos Display" w:cs="Corbel"/>
          <w:b/>
          <w:lang w:val="en-US"/>
        </w:rPr>
        <w:t>ty and transparency of decision</w:t>
      </w:r>
      <w:r w:rsidR="00D665C3" w:rsidRPr="00046D11">
        <w:rPr>
          <w:rFonts w:ascii="Aptos Display" w:eastAsia="Corbel" w:hAnsi="Aptos Display" w:cs="Corbel"/>
          <w:b/>
          <w:lang w:val="en-US"/>
        </w:rPr>
        <w:t>s</w:t>
      </w:r>
    </w:p>
    <w:p w14:paraId="5D0E0DE0" w14:textId="4AA0C95F" w:rsidR="0024010B" w:rsidRPr="00046D11" w:rsidRDefault="0024010B" w:rsidP="1D4EF1E9">
      <w:pPr>
        <w:ind w:hanging="11"/>
        <w:jc w:val="both"/>
        <w:rPr>
          <w:rFonts w:ascii="Aptos Display" w:eastAsia="Corbel" w:hAnsi="Aptos Display" w:cs="Corbel"/>
          <w:lang w:val="en-US"/>
        </w:rPr>
      </w:pPr>
      <w:r w:rsidRPr="00046D11">
        <w:rPr>
          <w:rFonts w:ascii="Aptos Display" w:eastAsia="Corbel" w:hAnsi="Aptos Display" w:cs="Corbel"/>
          <w:lang w:val="en-US"/>
        </w:rPr>
        <w:t xml:space="preserve">Accountability means that </w:t>
      </w:r>
      <w:r w:rsidR="000116F2" w:rsidRPr="00046D11">
        <w:rPr>
          <w:rFonts w:ascii="Aptos Display" w:eastAsia="Corbel" w:hAnsi="Aptos Display" w:cs="Corbel"/>
          <w:lang w:val="en-US"/>
        </w:rPr>
        <w:t>GCPHN is</w:t>
      </w:r>
      <w:r w:rsidRPr="00046D11">
        <w:rPr>
          <w:rFonts w:ascii="Aptos Display" w:eastAsia="Corbel" w:hAnsi="Aptos Display" w:cs="Corbel"/>
          <w:lang w:val="en-US"/>
        </w:rPr>
        <w:t xml:space="preserve"> responsible for the actions and decisions </w:t>
      </w:r>
      <w:r w:rsidR="000116F2" w:rsidRPr="00046D11">
        <w:rPr>
          <w:rFonts w:ascii="Aptos Display" w:eastAsia="Corbel" w:hAnsi="Aptos Display" w:cs="Corbel"/>
          <w:lang w:val="en-US"/>
        </w:rPr>
        <w:t>taken</w:t>
      </w:r>
      <w:r w:rsidRPr="00046D11">
        <w:rPr>
          <w:rFonts w:ascii="Aptos Display" w:eastAsia="Corbel" w:hAnsi="Aptos Display" w:cs="Corbel"/>
          <w:lang w:val="en-US"/>
        </w:rPr>
        <w:t xml:space="preserve"> in relation to procurement and for the resulting outcomes. Transparency involves taking steps to enable appropriate scrutiny of their procurement activity.</w:t>
      </w:r>
    </w:p>
    <w:tbl>
      <w:tblPr>
        <w:tblStyle w:val="TableGrid"/>
        <w:tblW w:w="5000" w:type="pct"/>
        <w:tblLook w:val="04A0" w:firstRow="1" w:lastRow="0" w:firstColumn="1" w:lastColumn="0" w:noHBand="0" w:noVBand="1"/>
      </w:tblPr>
      <w:tblGrid>
        <w:gridCol w:w="1997"/>
        <w:gridCol w:w="7773"/>
      </w:tblGrid>
      <w:tr w:rsidR="00BC0D26" w:rsidRPr="00046D11" w14:paraId="5CD116F0" w14:textId="77777777" w:rsidTr="00B840F8">
        <w:tc>
          <w:tcPr>
            <w:tcW w:w="1022" w:type="pct"/>
            <w:shd w:val="clear" w:color="auto" w:fill="0070C0"/>
          </w:tcPr>
          <w:p w14:paraId="5ABADCB2" w14:textId="77777777" w:rsidR="00BC0D26" w:rsidRPr="00046D11" w:rsidRDefault="00BC0D26" w:rsidP="1D4EF1E9">
            <w:pPr>
              <w:jc w:val="both"/>
              <w:rPr>
                <w:rFonts w:ascii="Aptos Display" w:hAnsi="Aptos Display"/>
                <w:b/>
              </w:rPr>
            </w:pPr>
            <w:r w:rsidRPr="00046D11">
              <w:rPr>
                <w:rFonts w:ascii="Aptos Display" w:hAnsi="Aptos Display"/>
                <w:b/>
                <w:color w:val="FFFFFF" w:themeColor="background1"/>
              </w:rPr>
              <w:t>Planning</w:t>
            </w:r>
          </w:p>
        </w:tc>
        <w:tc>
          <w:tcPr>
            <w:tcW w:w="3978" w:type="pct"/>
          </w:tcPr>
          <w:p w14:paraId="4DB17593" w14:textId="77777777" w:rsidR="00BC0D26" w:rsidRPr="00046D11" w:rsidRDefault="00BC0D26" w:rsidP="1D4EF1E9">
            <w:pPr>
              <w:pStyle w:val="ListParagraph"/>
              <w:numPr>
                <w:ilvl w:val="0"/>
                <w:numId w:val="7"/>
              </w:numPr>
              <w:spacing w:before="180" w:after="60"/>
              <w:jc w:val="both"/>
              <w:rPr>
                <w:rFonts w:ascii="Aptos Display" w:hAnsi="Aptos Display"/>
                <w:b/>
                <w:lang w:eastAsia="en-AU"/>
              </w:rPr>
            </w:pPr>
            <w:r w:rsidRPr="00046D11">
              <w:rPr>
                <w:rFonts w:ascii="Aptos Display" w:hAnsi="Aptos Display"/>
                <w:b/>
                <w:lang w:eastAsia="en-AU"/>
              </w:rPr>
              <w:t>Prepare a procurement plan which is aligned to the nature, scope, scale, risk and value of the procurement, and which integrates probity considerations.</w:t>
            </w:r>
          </w:p>
          <w:p w14:paraId="2BF86B3C" w14:textId="77777777" w:rsidR="00BC0D26" w:rsidRPr="00046D11" w:rsidRDefault="00BC0D26" w:rsidP="1D4EF1E9">
            <w:pPr>
              <w:pStyle w:val="ListParagraph"/>
              <w:ind w:left="360"/>
              <w:jc w:val="both"/>
              <w:rPr>
                <w:rFonts w:ascii="Aptos Display" w:hAnsi="Aptos Display"/>
                <w:bCs/>
                <w:lang w:eastAsia="en-AU"/>
              </w:rPr>
            </w:pPr>
            <w:r w:rsidRPr="00046D11">
              <w:rPr>
                <w:rFonts w:ascii="Aptos Display" w:hAnsi="Aptos Display"/>
                <w:bCs/>
                <w:lang w:eastAsia="en-AU"/>
              </w:rPr>
              <w:t>The plan, including associated plans (e.g. evaluation, implementation, probity) should be prepared and approved by the appropriate delegate prior to inviting offers. These plans serve to guide the conduct of the procurement, provide transparency and accountability of process, and minimise the risk of challenge to decisions made.</w:t>
            </w:r>
          </w:p>
          <w:p w14:paraId="7436A6AC" w14:textId="77777777" w:rsidR="00BC0D26" w:rsidRPr="00046D11" w:rsidRDefault="00BC0D26" w:rsidP="1D4EF1E9">
            <w:pPr>
              <w:pStyle w:val="ListParagraph"/>
              <w:ind w:left="360"/>
              <w:jc w:val="both"/>
              <w:rPr>
                <w:rFonts w:ascii="Aptos Display" w:hAnsi="Aptos Display"/>
                <w:bCs/>
                <w:lang w:eastAsia="en-AU"/>
              </w:rPr>
            </w:pPr>
          </w:p>
          <w:p w14:paraId="6FA5186E" w14:textId="77777777" w:rsidR="00BC0D26" w:rsidRPr="00046D11" w:rsidRDefault="00BC0D26" w:rsidP="1D4EF1E9">
            <w:pPr>
              <w:pStyle w:val="ListParagraph"/>
              <w:ind w:left="360"/>
              <w:jc w:val="both"/>
              <w:rPr>
                <w:rFonts w:ascii="Aptos Display" w:hAnsi="Aptos Display"/>
                <w:bCs/>
                <w:lang w:eastAsia="en-AU"/>
              </w:rPr>
            </w:pPr>
            <w:r w:rsidRPr="00046D11">
              <w:rPr>
                <w:rFonts w:ascii="Aptos Display" w:hAnsi="Aptos Display"/>
                <w:bCs/>
                <w:lang w:eastAsia="en-AU"/>
              </w:rPr>
              <w:t xml:space="preserve">In preparing these plans, consider how probity should be addressed throughout the procurement, from the identification of relevant risks of the goods and/or service procured through to the award of the contract. </w:t>
            </w:r>
          </w:p>
          <w:p w14:paraId="2BA72F38" w14:textId="77777777" w:rsidR="00BC0D26" w:rsidRPr="00046D11" w:rsidRDefault="00BC0D26" w:rsidP="1D4EF1E9">
            <w:pPr>
              <w:pStyle w:val="ListParagraph"/>
              <w:ind w:left="360"/>
              <w:jc w:val="both"/>
              <w:rPr>
                <w:rFonts w:ascii="Aptos Display" w:hAnsi="Aptos Display"/>
                <w:bCs/>
                <w:lang w:eastAsia="en-AU"/>
              </w:rPr>
            </w:pPr>
          </w:p>
          <w:p w14:paraId="47CB498A" w14:textId="4BDD7AA4" w:rsidR="00BC0D26" w:rsidRPr="00046D11" w:rsidRDefault="00BC0D26" w:rsidP="1D4EF1E9">
            <w:pPr>
              <w:pStyle w:val="ListParagraph"/>
              <w:ind w:left="360"/>
              <w:jc w:val="both"/>
              <w:rPr>
                <w:rFonts w:ascii="Aptos Display" w:hAnsi="Aptos Display"/>
                <w:bCs/>
                <w:lang w:eastAsia="en-AU"/>
              </w:rPr>
            </w:pPr>
            <w:r w:rsidRPr="00046D11">
              <w:rPr>
                <w:rFonts w:ascii="Aptos Display" w:hAnsi="Aptos Display"/>
                <w:bCs/>
                <w:lang w:eastAsia="en-AU"/>
              </w:rPr>
              <w:t xml:space="preserve">Risk assessments should be conducted to identify current and emerging risks (e.g. probity, fraud, corruption, reputational, service delivery). Risks should be recorded in a register, monitored and mitigated through the application of appropriate controls and treatments. For fraud risks, ensure these are managed in line with </w:t>
            </w:r>
            <w:r w:rsidR="00BA4987" w:rsidRPr="00046D11">
              <w:rPr>
                <w:rFonts w:ascii="Aptos Display" w:hAnsi="Aptos Display"/>
                <w:bCs/>
                <w:lang w:eastAsia="en-AU"/>
              </w:rPr>
              <w:t>the</w:t>
            </w:r>
            <w:r w:rsidRPr="00046D11">
              <w:rPr>
                <w:rFonts w:ascii="Aptos Display" w:hAnsi="Aptos Display"/>
                <w:bCs/>
                <w:lang w:eastAsia="en-AU"/>
              </w:rPr>
              <w:t xml:space="preserve"> fraud and/or corruption control policies and plans.</w:t>
            </w:r>
          </w:p>
        </w:tc>
      </w:tr>
      <w:tr w:rsidR="00BC0D26" w:rsidRPr="00046D11" w14:paraId="31EC711B" w14:textId="77777777" w:rsidTr="00B840F8">
        <w:tc>
          <w:tcPr>
            <w:tcW w:w="1022" w:type="pct"/>
            <w:shd w:val="clear" w:color="auto" w:fill="0070C0"/>
          </w:tcPr>
          <w:p w14:paraId="5C69CCED" w14:textId="77777777" w:rsidR="00BC0D26" w:rsidRPr="00046D11" w:rsidRDefault="00BC0D26" w:rsidP="1D4EF1E9">
            <w:pPr>
              <w:jc w:val="both"/>
              <w:rPr>
                <w:rFonts w:ascii="Aptos Display" w:hAnsi="Aptos Display"/>
                <w:b/>
              </w:rPr>
            </w:pPr>
            <w:r w:rsidRPr="00046D11">
              <w:rPr>
                <w:rFonts w:ascii="Aptos Display" w:hAnsi="Aptos Display"/>
                <w:b/>
                <w:color w:val="FFFFFF" w:themeColor="background1"/>
              </w:rPr>
              <w:t>Evaluation panel composition</w:t>
            </w:r>
          </w:p>
        </w:tc>
        <w:tc>
          <w:tcPr>
            <w:tcW w:w="3978" w:type="pct"/>
          </w:tcPr>
          <w:p w14:paraId="61E794D6" w14:textId="77777777" w:rsidR="00BC0D26" w:rsidRPr="00046D11" w:rsidRDefault="00BC0D26" w:rsidP="1D4EF1E9">
            <w:pPr>
              <w:pStyle w:val="ListParagraph"/>
              <w:numPr>
                <w:ilvl w:val="0"/>
                <w:numId w:val="7"/>
              </w:numPr>
              <w:spacing w:before="180" w:after="60"/>
              <w:jc w:val="both"/>
              <w:rPr>
                <w:rFonts w:ascii="Aptos Display" w:hAnsi="Aptos Display"/>
                <w:lang w:eastAsia="en-AU"/>
              </w:rPr>
            </w:pPr>
            <w:r w:rsidRPr="00046D11">
              <w:rPr>
                <w:rFonts w:ascii="Aptos Display" w:hAnsi="Aptos Display"/>
                <w:b/>
                <w:lang w:eastAsia="en-AU"/>
              </w:rPr>
              <w:t>Multiple officers should undertake a tender evaluation process</w:t>
            </w:r>
          </w:p>
          <w:p w14:paraId="0C45AF6F" w14:textId="77777777" w:rsidR="00BC0D26" w:rsidRDefault="00BC0D26" w:rsidP="1D4EF1E9">
            <w:pPr>
              <w:ind w:left="360"/>
              <w:jc w:val="both"/>
              <w:rPr>
                <w:rFonts w:ascii="Aptos Display" w:hAnsi="Aptos Display"/>
                <w:lang w:eastAsia="en-AU"/>
              </w:rPr>
            </w:pPr>
            <w:r w:rsidRPr="00046D11">
              <w:rPr>
                <w:rFonts w:ascii="Aptos Display" w:hAnsi="Aptos Display"/>
                <w:lang w:eastAsia="en-AU"/>
              </w:rPr>
              <w:t>All evaluation panel members must agree on the evaluation criteria. The panel members should be briefed on the evaluation process, procedures and probity requirements prior to commencing (e.g. protocols covering how communication with suppliers is to occur).</w:t>
            </w:r>
          </w:p>
          <w:p w14:paraId="2A777E33" w14:textId="77777777" w:rsidR="000718C0" w:rsidRDefault="000718C0" w:rsidP="1D4EF1E9">
            <w:pPr>
              <w:ind w:left="360"/>
              <w:jc w:val="both"/>
              <w:rPr>
                <w:rFonts w:ascii="Aptos Display" w:hAnsi="Aptos Display"/>
                <w:lang w:eastAsia="en-AU"/>
              </w:rPr>
            </w:pPr>
          </w:p>
          <w:p w14:paraId="4A1B7967" w14:textId="230F46B3" w:rsidR="0058432A" w:rsidRPr="00046D11" w:rsidRDefault="00EB3FF8" w:rsidP="1D4EF1E9">
            <w:pPr>
              <w:ind w:left="360"/>
              <w:jc w:val="both"/>
              <w:rPr>
                <w:rFonts w:ascii="Aptos Display" w:hAnsi="Aptos Display"/>
                <w:lang w:eastAsia="en-AU"/>
              </w:rPr>
            </w:pPr>
            <w:commentRangeStart w:id="2"/>
            <w:commentRangeStart w:id="3"/>
            <w:r>
              <w:rPr>
                <w:rFonts w:ascii="Aptos Display" w:hAnsi="Aptos Display"/>
                <w:lang w:eastAsia="en-AU"/>
              </w:rPr>
              <w:t>Procurement will act as</w:t>
            </w:r>
            <w:r w:rsidR="0058432A">
              <w:rPr>
                <w:rFonts w:ascii="Aptos Display" w:hAnsi="Aptos Display"/>
                <w:lang w:eastAsia="en-AU"/>
              </w:rPr>
              <w:t xml:space="preserve"> </w:t>
            </w:r>
            <w:r w:rsidR="00162AAE">
              <w:rPr>
                <w:rFonts w:ascii="Aptos Display" w:hAnsi="Aptos Display"/>
                <w:lang w:eastAsia="en-AU"/>
              </w:rPr>
              <w:t xml:space="preserve">a Probity Officer </w:t>
            </w:r>
            <w:r>
              <w:rPr>
                <w:rFonts w:ascii="Aptos Display" w:hAnsi="Aptos Display"/>
                <w:lang w:eastAsia="en-AU"/>
              </w:rPr>
              <w:t>to</w:t>
            </w:r>
            <w:r w:rsidR="00162AAE">
              <w:rPr>
                <w:rFonts w:ascii="Aptos Display" w:hAnsi="Aptos Display"/>
                <w:lang w:eastAsia="en-AU"/>
              </w:rPr>
              <w:t xml:space="preserve"> </w:t>
            </w:r>
            <w:r w:rsidR="00126D2D">
              <w:rPr>
                <w:rFonts w:ascii="Aptos Display" w:hAnsi="Aptos Display"/>
                <w:lang w:eastAsia="en-AU"/>
              </w:rPr>
              <w:t>oversee</w:t>
            </w:r>
            <w:r w:rsidR="007A6ABC">
              <w:rPr>
                <w:rFonts w:ascii="Aptos Display" w:hAnsi="Aptos Display"/>
                <w:lang w:eastAsia="en-AU"/>
              </w:rPr>
              <w:t xml:space="preserve"> and provide advice </w:t>
            </w:r>
            <w:r w:rsidR="00162AAE">
              <w:rPr>
                <w:rFonts w:ascii="Aptos Display" w:hAnsi="Aptos Display"/>
                <w:lang w:eastAsia="en-AU"/>
              </w:rPr>
              <w:t>for all tender</w:t>
            </w:r>
            <w:r w:rsidR="00425EBF">
              <w:rPr>
                <w:rFonts w:ascii="Aptos Display" w:hAnsi="Aptos Display"/>
                <w:lang w:eastAsia="en-AU"/>
              </w:rPr>
              <w:t xml:space="preserve"> proces</w:t>
            </w:r>
            <w:r w:rsidR="00162AAE">
              <w:rPr>
                <w:rFonts w:ascii="Aptos Display" w:hAnsi="Aptos Display"/>
                <w:lang w:eastAsia="en-AU"/>
              </w:rPr>
              <w:t>s</w:t>
            </w:r>
            <w:r w:rsidR="00E77364">
              <w:rPr>
                <w:rFonts w:ascii="Aptos Display" w:hAnsi="Aptos Display"/>
                <w:lang w:eastAsia="en-AU"/>
              </w:rPr>
              <w:t>es</w:t>
            </w:r>
            <w:r w:rsidR="000718C0">
              <w:rPr>
                <w:rFonts w:ascii="Aptos Display" w:hAnsi="Aptos Display"/>
                <w:lang w:eastAsia="en-AU"/>
              </w:rPr>
              <w:t>.</w:t>
            </w:r>
            <w:commentRangeEnd w:id="2"/>
            <w:r w:rsidR="00396BC7" w:rsidRPr="00046D11">
              <w:rPr>
                <w:rStyle w:val="CommentReference"/>
                <w:rFonts w:ascii="Aptos Display" w:hAnsi="Aptos Display"/>
                <w:sz w:val="22"/>
                <w:szCs w:val="22"/>
                <w:lang w:eastAsia="en-AU"/>
              </w:rPr>
              <w:commentReference w:id="2"/>
            </w:r>
            <w:commentRangeEnd w:id="3"/>
            <w:r w:rsidR="00793559">
              <w:rPr>
                <w:rStyle w:val="CommentReference"/>
              </w:rPr>
              <w:commentReference w:id="3"/>
            </w:r>
          </w:p>
          <w:p w14:paraId="6867F90F" w14:textId="77777777" w:rsidR="00BC0D26" w:rsidRPr="00046D11" w:rsidRDefault="00BC0D26" w:rsidP="1D4EF1E9">
            <w:pPr>
              <w:ind w:left="360"/>
              <w:jc w:val="both"/>
              <w:rPr>
                <w:rFonts w:ascii="Aptos Display" w:hAnsi="Aptos Display"/>
                <w:lang w:eastAsia="en-AU"/>
              </w:rPr>
            </w:pPr>
          </w:p>
          <w:p w14:paraId="77CA9614" w14:textId="305AFF6D" w:rsidR="00BC0D26" w:rsidRPr="00046D11" w:rsidRDefault="00BC0D26" w:rsidP="1D4EF1E9">
            <w:pPr>
              <w:ind w:left="360"/>
              <w:jc w:val="both"/>
              <w:rPr>
                <w:rFonts w:ascii="Aptos Display" w:hAnsi="Aptos Display"/>
                <w:lang w:eastAsia="en-AU"/>
              </w:rPr>
            </w:pPr>
            <w:r w:rsidRPr="00046D11">
              <w:rPr>
                <w:rFonts w:ascii="Aptos Display" w:hAnsi="Aptos Display"/>
                <w:lang w:eastAsia="en-AU"/>
              </w:rPr>
              <w:t xml:space="preserve">Evaluation panel members should disclose </w:t>
            </w:r>
            <w:r w:rsidR="00B95613" w:rsidRPr="00046D11">
              <w:rPr>
                <w:rFonts w:ascii="Aptos Display" w:hAnsi="Aptos Display"/>
                <w:lang w:eastAsia="en-AU"/>
              </w:rPr>
              <w:t xml:space="preserve">all </w:t>
            </w:r>
            <w:r w:rsidRPr="00046D11">
              <w:rPr>
                <w:rFonts w:ascii="Aptos Display" w:hAnsi="Aptos Display"/>
                <w:lang w:eastAsia="en-AU"/>
              </w:rPr>
              <w:t>conflicts of interest</w:t>
            </w:r>
            <w:r w:rsidR="00DA2C6E" w:rsidRPr="00046D11">
              <w:rPr>
                <w:rFonts w:ascii="Aptos Display" w:hAnsi="Aptos Display"/>
                <w:lang w:eastAsia="en-AU"/>
              </w:rPr>
              <w:t>.</w:t>
            </w:r>
            <w:r w:rsidRPr="00046D11">
              <w:rPr>
                <w:rFonts w:ascii="Aptos Display" w:hAnsi="Aptos Display"/>
                <w:lang w:eastAsia="en-AU"/>
              </w:rPr>
              <w:t xml:space="preserve"> </w:t>
            </w:r>
          </w:p>
        </w:tc>
      </w:tr>
      <w:tr w:rsidR="00BC0D26" w:rsidRPr="00046D11" w14:paraId="37AB2C21" w14:textId="77777777" w:rsidTr="00B840F8">
        <w:tc>
          <w:tcPr>
            <w:tcW w:w="1022" w:type="pct"/>
            <w:shd w:val="clear" w:color="auto" w:fill="0070C0"/>
          </w:tcPr>
          <w:p w14:paraId="56BBEBC1" w14:textId="77777777" w:rsidR="00BC0D26" w:rsidRPr="00046D11" w:rsidRDefault="00BC0D26" w:rsidP="1D4EF1E9">
            <w:pPr>
              <w:jc w:val="both"/>
              <w:rPr>
                <w:rFonts w:ascii="Aptos Display" w:hAnsi="Aptos Display"/>
                <w:b/>
              </w:rPr>
            </w:pPr>
            <w:r w:rsidRPr="00046D11">
              <w:rPr>
                <w:rFonts w:ascii="Aptos Display" w:hAnsi="Aptos Display"/>
                <w:b/>
                <w:color w:val="FFFFFF" w:themeColor="background1"/>
              </w:rPr>
              <w:t>Recordkeeping</w:t>
            </w:r>
          </w:p>
        </w:tc>
        <w:tc>
          <w:tcPr>
            <w:tcW w:w="3978" w:type="pct"/>
          </w:tcPr>
          <w:p w14:paraId="025027E1" w14:textId="77777777" w:rsidR="00BC0D26" w:rsidRPr="00046D11" w:rsidRDefault="00BC0D26" w:rsidP="1D4EF1E9">
            <w:pPr>
              <w:pStyle w:val="ListParagraph"/>
              <w:numPr>
                <w:ilvl w:val="0"/>
                <w:numId w:val="7"/>
              </w:numPr>
              <w:spacing w:before="180" w:after="60"/>
              <w:jc w:val="both"/>
              <w:rPr>
                <w:rFonts w:ascii="Aptos Display" w:hAnsi="Aptos Display"/>
                <w:lang w:eastAsia="en-AU"/>
              </w:rPr>
            </w:pPr>
            <w:r w:rsidRPr="00046D11">
              <w:rPr>
                <w:rFonts w:ascii="Aptos Display" w:hAnsi="Aptos Display"/>
                <w:b/>
                <w:lang w:eastAsia="en-AU"/>
              </w:rPr>
              <w:t>Keep accurate records for all stages of the procurement process</w:t>
            </w:r>
            <w:r w:rsidRPr="00046D11">
              <w:rPr>
                <w:rFonts w:ascii="Aptos Display" w:hAnsi="Aptos Display"/>
                <w:lang w:eastAsia="en-AU"/>
              </w:rPr>
              <w:t xml:space="preserve"> </w:t>
            </w:r>
          </w:p>
          <w:p w14:paraId="74CFD630" w14:textId="0DFB1946" w:rsidR="00BC0D26" w:rsidRPr="00046D11" w:rsidRDefault="00BC0D26" w:rsidP="1D4EF1E9">
            <w:pPr>
              <w:ind w:left="360"/>
              <w:jc w:val="both"/>
              <w:rPr>
                <w:rFonts w:ascii="Aptos Display" w:hAnsi="Aptos Display"/>
                <w:lang w:eastAsia="en-AU"/>
              </w:rPr>
            </w:pPr>
            <w:r w:rsidRPr="00046D11">
              <w:rPr>
                <w:rFonts w:ascii="Aptos Display" w:hAnsi="Aptos Display"/>
                <w:lang w:eastAsia="en-AU"/>
              </w:rPr>
              <w:t xml:space="preserve">All decisions (and the process used to arrive at a decision) need to be documented to provide sufficient information for audit or other review. </w:t>
            </w:r>
          </w:p>
          <w:p w14:paraId="543CFB3F" w14:textId="77777777" w:rsidR="00B92995" w:rsidRPr="00046D11" w:rsidRDefault="00B92995" w:rsidP="1D4EF1E9">
            <w:pPr>
              <w:ind w:left="360"/>
              <w:jc w:val="both"/>
              <w:rPr>
                <w:rFonts w:ascii="Aptos Display" w:hAnsi="Aptos Display"/>
                <w:lang w:eastAsia="en-AU"/>
              </w:rPr>
            </w:pPr>
          </w:p>
          <w:p w14:paraId="32B5007B" w14:textId="775C38B7" w:rsidR="00B92995" w:rsidRPr="00046D11" w:rsidRDefault="00B92995" w:rsidP="1D4EF1E9">
            <w:pPr>
              <w:ind w:left="360"/>
              <w:jc w:val="both"/>
              <w:rPr>
                <w:rFonts w:ascii="Aptos Display" w:hAnsi="Aptos Display"/>
                <w:lang w:eastAsia="en-AU"/>
              </w:rPr>
            </w:pPr>
            <w:r w:rsidRPr="00046D11">
              <w:rPr>
                <w:rFonts w:ascii="Aptos Display" w:hAnsi="Aptos Display"/>
                <w:lang w:eastAsia="en-AU"/>
              </w:rPr>
              <w:t>All documents related to the process</w:t>
            </w:r>
            <w:r w:rsidR="00FA15A1" w:rsidRPr="00046D11">
              <w:rPr>
                <w:rFonts w:ascii="Aptos Display" w:hAnsi="Aptos Display"/>
                <w:lang w:eastAsia="en-AU"/>
              </w:rPr>
              <w:t xml:space="preserve"> must be securely </w:t>
            </w:r>
            <w:r w:rsidR="004F5A52">
              <w:rPr>
                <w:rFonts w:ascii="Aptos Display" w:hAnsi="Aptos Display"/>
                <w:lang w:eastAsia="en-AU"/>
              </w:rPr>
              <w:t>saved</w:t>
            </w:r>
            <w:r w:rsidR="00FA15A1" w:rsidRPr="00046D11">
              <w:rPr>
                <w:rFonts w:ascii="Aptos Display" w:hAnsi="Aptos Display"/>
                <w:lang w:eastAsia="en-AU"/>
              </w:rPr>
              <w:t xml:space="preserve"> </w:t>
            </w:r>
            <w:r w:rsidR="00C613CB">
              <w:rPr>
                <w:rFonts w:ascii="Aptos Display" w:hAnsi="Aptos Display"/>
                <w:lang w:eastAsia="en-AU"/>
              </w:rPr>
              <w:t xml:space="preserve">in SharePoint </w:t>
            </w:r>
            <w:r w:rsidR="00FA15A1" w:rsidRPr="00046D11">
              <w:rPr>
                <w:rFonts w:ascii="Aptos Display" w:hAnsi="Aptos Display"/>
                <w:lang w:eastAsia="en-AU"/>
              </w:rPr>
              <w:t>to ensure confidentiality</w:t>
            </w:r>
            <w:r w:rsidR="00AD2D93" w:rsidRPr="00046D11">
              <w:rPr>
                <w:rFonts w:ascii="Aptos Display" w:hAnsi="Aptos Display"/>
                <w:lang w:eastAsia="en-AU"/>
              </w:rPr>
              <w:t xml:space="preserve">. </w:t>
            </w:r>
            <w:r w:rsidR="004F5A52">
              <w:rPr>
                <w:rFonts w:ascii="Aptos Display" w:hAnsi="Aptos Display"/>
                <w:lang w:eastAsia="en-AU"/>
              </w:rPr>
              <w:t>Any hard copy documents will be security shredded</w:t>
            </w:r>
            <w:r w:rsidR="00A41790">
              <w:rPr>
                <w:rFonts w:ascii="Aptos Display" w:hAnsi="Aptos Display"/>
                <w:lang w:eastAsia="en-AU"/>
              </w:rPr>
              <w:t xml:space="preserve"> after the evaluation is completed.</w:t>
            </w:r>
          </w:p>
          <w:p w14:paraId="4113EDBD" w14:textId="77777777" w:rsidR="00BC0D26" w:rsidRPr="00046D11" w:rsidRDefault="00BC0D26" w:rsidP="1D4EF1E9">
            <w:pPr>
              <w:ind w:left="360"/>
              <w:jc w:val="both"/>
              <w:rPr>
                <w:rFonts w:ascii="Aptos Display" w:hAnsi="Aptos Display"/>
                <w:lang w:eastAsia="en-AU"/>
              </w:rPr>
            </w:pPr>
          </w:p>
          <w:p w14:paraId="3494486C" w14:textId="0F4914B9" w:rsidR="00BC0D26" w:rsidRPr="00046D11" w:rsidRDefault="005D39A3" w:rsidP="1D4EF1E9">
            <w:pPr>
              <w:ind w:left="360"/>
              <w:jc w:val="both"/>
              <w:rPr>
                <w:rFonts w:ascii="Aptos Display" w:hAnsi="Aptos Display"/>
                <w:lang w:eastAsia="en-AU"/>
              </w:rPr>
            </w:pPr>
            <w:r>
              <w:rPr>
                <w:rFonts w:ascii="Aptos Display" w:hAnsi="Aptos Display"/>
                <w:lang w:eastAsia="en-AU"/>
              </w:rPr>
              <w:t>The P</w:t>
            </w:r>
            <w:r w:rsidR="00BC0D26" w:rsidRPr="00046D11">
              <w:rPr>
                <w:rFonts w:ascii="Aptos Display" w:hAnsi="Aptos Display"/>
                <w:lang w:eastAsia="en-AU"/>
              </w:rPr>
              <w:t xml:space="preserve">anel </w:t>
            </w:r>
            <w:r>
              <w:rPr>
                <w:rFonts w:ascii="Aptos Display" w:hAnsi="Aptos Display"/>
                <w:lang w:eastAsia="en-AU"/>
              </w:rPr>
              <w:t>C</w:t>
            </w:r>
            <w:r w:rsidR="00BC0D26" w:rsidRPr="00046D11">
              <w:rPr>
                <w:rFonts w:ascii="Aptos Display" w:hAnsi="Aptos Display"/>
                <w:lang w:eastAsia="en-AU"/>
              </w:rPr>
              <w:t>hair</w:t>
            </w:r>
            <w:r>
              <w:rPr>
                <w:rFonts w:ascii="Aptos Display" w:hAnsi="Aptos Display"/>
                <w:lang w:eastAsia="en-AU"/>
              </w:rPr>
              <w:t xml:space="preserve"> or Probity Officer where appointed</w:t>
            </w:r>
            <w:r w:rsidR="00BC0D26" w:rsidRPr="00046D11">
              <w:rPr>
                <w:rFonts w:ascii="Aptos Display" w:hAnsi="Aptos Display"/>
                <w:lang w:eastAsia="en-AU"/>
              </w:rPr>
              <w:t xml:space="preserve"> must ensure that all documentation is completed properly and in a timely manner.</w:t>
            </w:r>
          </w:p>
        </w:tc>
      </w:tr>
      <w:tr w:rsidR="00BC0D26" w:rsidRPr="00046D11" w14:paraId="777C8CAF" w14:textId="77777777" w:rsidTr="00B840F8">
        <w:tc>
          <w:tcPr>
            <w:tcW w:w="1022" w:type="pct"/>
            <w:shd w:val="clear" w:color="auto" w:fill="0070C0"/>
          </w:tcPr>
          <w:p w14:paraId="3CC8C01C" w14:textId="77777777" w:rsidR="00BC0D26" w:rsidRPr="00046D11" w:rsidRDefault="00BC0D26" w:rsidP="1D4EF1E9">
            <w:pPr>
              <w:jc w:val="both"/>
              <w:rPr>
                <w:rFonts w:ascii="Aptos Display" w:hAnsi="Aptos Display"/>
                <w:b/>
              </w:rPr>
            </w:pPr>
            <w:r w:rsidRPr="00046D11">
              <w:rPr>
                <w:rFonts w:ascii="Aptos Display" w:hAnsi="Aptos Display"/>
                <w:b/>
                <w:color w:val="FFFFFF" w:themeColor="background1"/>
              </w:rPr>
              <w:t>Supplier communication</w:t>
            </w:r>
          </w:p>
        </w:tc>
        <w:tc>
          <w:tcPr>
            <w:tcW w:w="3978" w:type="pct"/>
          </w:tcPr>
          <w:p w14:paraId="7C7ECF01" w14:textId="5D060038" w:rsidR="00BC0D26" w:rsidRPr="00046D11" w:rsidRDefault="00425AFF" w:rsidP="1D4EF1E9">
            <w:pPr>
              <w:pStyle w:val="ListParagraph"/>
              <w:numPr>
                <w:ilvl w:val="0"/>
                <w:numId w:val="7"/>
              </w:numPr>
              <w:spacing w:before="180" w:after="60" w:line="264" w:lineRule="auto"/>
              <w:jc w:val="both"/>
              <w:rPr>
                <w:rFonts w:ascii="Aptos Display" w:hAnsi="Aptos Display"/>
                <w:lang w:eastAsia="en-AU"/>
              </w:rPr>
            </w:pPr>
            <w:r w:rsidRPr="00046D11">
              <w:rPr>
                <w:rFonts w:ascii="Aptos Display" w:hAnsi="Aptos Display"/>
                <w:b/>
                <w:lang w:eastAsia="en-AU"/>
              </w:rPr>
              <w:t>D</w:t>
            </w:r>
            <w:r w:rsidR="00BC0D26" w:rsidRPr="00046D11">
              <w:rPr>
                <w:rFonts w:ascii="Aptos Display" w:hAnsi="Aptos Display"/>
                <w:b/>
                <w:lang w:eastAsia="en-AU"/>
              </w:rPr>
              <w:t xml:space="preserve">ocument any and all communication </w:t>
            </w:r>
          </w:p>
          <w:p w14:paraId="27D85B97" w14:textId="77777777" w:rsidR="00BC0D26" w:rsidRPr="00046D11" w:rsidRDefault="00BC0D26" w:rsidP="1D4EF1E9">
            <w:pPr>
              <w:ind w:left="360"/>
              <w:jc w:val="both"/>
              <w:rPr>
                <w:rFonts w:ascii="Aptos Display" w:hAnsi="Aptos Display"/>
                <w:lang w:eastAsia="en-AU"/>
              </w:rPr>
            </w:pPr>
            <w:r w:rsidRPr="00046D11">
              <w:rPr>
                <w:rFonts w:ascii="Aptos Display" w:hAnsi="Aptos Display"/>
                <w:lang w:eastAsia="en-AU"/>
              </w:rPr>
              <w:t>This includes both written communications, along with appropriate records of any verbal discussions (e.g. minutes of a meeting, file notes).</w:t>
            </w:r>
          </w:p>
          <w:p w14:paraId="323E7E02" w14:textId="77777777" w:rsidR="00BC0D26" w:rsidRPr="00046D11" w:rsidRDefault="00BC0D26" w:rsidP="1D4EF1E9">
            <w:pPr>
              <w:pStyle w:val="ListParagraph"/>
              <w:numPr>
                <w:ilvl w:val="0"/>
                <w:numId w:val="7"/>
              </w:numPr>
              <w:spacing w:before="180" w:after="60" w:line="264" w:lineRule="auto"/>
              <w:jc w:val="both"/>
              <w:rPr>
                <w:rFonts w:ascii="Aptos Display" w:hAnsi="Aptos Display"/>
                <w:b/>
                <w:lang w:eastAsia="en-AU"/>
              </w:rPr>
            </w:pPr>
            <w:r w:rsidRPr="00046D11">
              <w:rPr>
                <w:rFonts w:ascii="Aptos Display" w:hAnsi="Aptos Display"/>
                <w:b/>
                <w:lang w:eastAsia="en-AU"/>
              </w:rPr>
              <w:t xml:space="preserve">Ensure that negotiated agreements are confirmed in writing. </w:t>
            </w:r>
          </w:p>
          <w:p w14:paraId="2274D783" w14:textId="77777777" w:rsidR="00BC0D26" w:rsidRPr="00046D11" w:rsidRDefault="00BC0D26" w:rsidP="1D4EF1E9">
            <w:pPr>
              <w:pStyle w:val="ListParagraph"/>
              <w:ind w:left="360"/>
              <w:jc w:val="both"/>
              <w:rPr>
                <w:rFonts w:ascii="Aptos Display" w:hAnsi="Aptos Display"/>
                <w:b/>
                <w:lang w:eastAsia="en-AU"/>
              </w:rPr>
            </w:pPr>
            <w:r w:rsidRPr="00046D11">
              <w:rPr>
                <w:rFonts w:ascii="Aptos Display" w:hAnsi="Aptos Display"/>
                <w:lang w:eastAsia="en-AU"/>
              </w:rPr>
              <w:t>If verbal post-offer negotiations are used, any agreed outcomes or actions should be documented and subsequently agreed to in writing by both parties.</w:t>
            </w:r>
          </w:p>
        </w:tc>
      </w:tr>
      <w:tr w:rsidR="00BC0D26" w:rsidRPr="00046D11" w14:paraId="4449F383" w14:textId="77777777" w:rsidTr="00B840F8">
        <w:tc>
          <w:tcPr>
            <w:tcW w:w="1022" w:type="pct"/>
            <w:shd w:val="clear" w:color="auto" w:fill="0070C0"/>
          </w:tcPr>
          <w:p w14:paraId="6529643A" w14:textId="77777777" w:rsidR="00BC0D26" w:rsidRPr="00046D11" w:rsidRDefault="00BC0D26" w:rsidP="1D4EF1E9">
            <w:pPr>
              <w:jc w:val="both"/>
              <w:rPr>
                <w:rFonts w:ascii="Aptos Display" w:hAnsi="Aptos Display"/>
                <w:b/>
              </w:rPr>
            </w:pPr>
            <w:r w:rsidRPr="00046D11">
              <w:rPr>
                <w:rFonts w:ascii="Aptos Display" w:hAnsi="Aptos Display"/>
                <w:b/>
                <w:color w:val="FFFFFF" w:themeColor="background1"/>
              </w:rPr>
              <w:lastRenderedPageBreak/>
              <w:t>Confidentiality and security of materials</w:t>
            </w:r>
          </w:p>
        </w:tc>
        <w:tc>
          <w:tcPr>
            <w:tcW w:w="3978" w:type="pct"/>
          </w:tcPr>
          <w:p w14:paraId="72B07C9A" w14:textId="77777777" w:rsidR="00BC0D26" w:rsidRPr="00046D11" w:rsidRDefault="00BC0D26" w:rsidP="1D4EF1E9">
            <w:pPr>
              <w:pStyle w:val="ListParagraph"/>
              <w:numPr>
                <w:ilvl w:val="0"/>
                <w:numId w:val="7"/>
              </w:numPr>
              <w:spacing w:before="180" w:after="60"/>
              <w:jc w:val="both"/>
              <w:rPr>
                <w:rFonts w:ascii="Aptos Display" w:hAnsi="Aptos Display"/>
                <w:b/>
                <w:lang w:eastAsia="en-AU"/>
              </w:rPr>
            </w:pPr>
            <w:r w:rsidRPr="00046D11">
              <w:rPr>
                <w:rFonts w:ascii="Aptos Display" w:hAnsi="Aptos Display"/>
                <w:b/>
                <w:lang w:eastAsia="en-AU"/>
              </w:rPr>
              <w:t>Confidentiality and conflict of interest deeds must be obtained from all participants.</w:t>
            </w:r>
          </w:p>
          <w:p w14:paraId="485D7478" w14:textId="41F8ACD6" w:rsidR="00830EF0" w:rsidRPr="00046D11" w:rsidRDefault="003C71CC" w:rsidP="1D4EF1E9">
            <w:pPr>
              <w:spacing w:before="180" w:after="60"/>
              <w:ind w:left="360"/>
              <w:jc w:val="both"/>
              <w:rPr>
                <w:rFonts w:ascii="Aptos Display" w:hAnsi="Aptos Display"/>
                <w:b/>
                <w:lang w:eastAsia="en-AU"/>
              </w:rPr>
            </w:pPr>
            <w:r w:rsidRPr="00046D11">
              <w:rPr>
                <w:rFonts w:ascii="Aptos Display" w:hAnsi="Aptos Display"/>
                <w:lang w:eastAsia="en-AU"/>
              </w:rPr>
              <w:t xml:space="preserve">Both physical and </w:t>
            </w:r>
            <w:r w:rsidR="007C0731" w:rsidRPr="00046D11">
              <w:rPr>
                <w:rFonts w:ascii="Aptos Display" w:hAnsi="Aptos Display"/>
                <w:lang w:eastAsia="en-AU"/>
              </w:rPr>
              <w:t>soft copy information must be stored and shared securely</w:t>
            </w:r>
            <w:r w:rsidR="00830EF0" w:rsidRPr="00046D11">
              <w:rPr>
                <w:rFonts w:ascii="Aptos Display" w:hAnsi="Aptos Display"/>
                <w:lang w:eastAsia="en-AU"/>
              </w:rPr>
              <w:t>.</w:t>
            </w:r>
            <w:r w:rsidR="00090E5C" w:rsidRPr="00046D11">
              <w:rPr>
                <w:rFonts w:ascii="Aptos Display" w:hAnsi="Aptos Display"/>
                <w:lang w:eastAsia="en-AU"/>
              </w:rPr>
              <w:t xml:space="preserve">  Access </w:t>
            </w:r>
            <w:r w:rsidR="00B35FBA" w:rsidRPr="00046D11">
              <w:rPr>
                <w:rFonts w:ascii="Aptos Display" w:hAnsi="Aptos Display"/>
                <w:lang w:eastAsia="en-AU"/>
              </w:rPr>
              <w:t xml:space="preserve">should be limited to those involved in the evaluation process </w:t>
            </w:r>
            <w:r w:rsidR="008D0A8B" w:rsidRPr="00046D11">
              <w:rPr>
                <w:rFonts w:ascii="Aptos Display" w:hAnsi="Aptos Display"/>
                <w:lang w:eastAsia="en-AU"/>
              </w:rPr>
              <w:t>and only after confidentiality agreements have been signed.</w:t>
            </w:r>
          </w:p>
        </w:tc>
      </w:tr>
      <w:tr w:rsidR="00BC0D26" w:rsidRPr="00046D11" w14:paraId="49E8BF28" w14:textId="77777777" w:rsidTr="00B840F8">
        <w:tc>
          <w:tcPr>
            <w:tcW w:w="1022" w:type="pct"/>
            <w:shd w:val="clear" w:color="auto" w:fill="0070C0"/>
          </w:tcPr>
          <w:p w14:paraId="640FD336" w14:textId="77777777" w:rsidR="00BC0D26" w:rsidRPr="00046D11" w:rsidRDefault="00BC0D26" w:rsidP="1D4EF1E9">
            <w:pPr>
              <w:jc w:val="both"/>
              <w:rPr>
                <w:rFonts w:ascii="Aptos Display" w:hAnsi="Aptos Display"/>
                <w:b/>
              </w:rPr>
            </w:pPr>
            <w:r w:rsidRPr="00046D11">
              <w:rPr>
                <w:rFonts w:ascii="Aptos Display" w:hAnsi="Aptos Display"/>
                <w:b/>
                <w:color w:val="FFFFFF" w:themeColor="background1"/>
              </w:rPr>
              <w:t>Delegations</w:t>
            </w:r>
          </w:p>
        </w:tc>
        <w:tc>
          <w:tcPr>
            <w:tcW w:w="3978" w:type="pct"/>
          </w:tcPr>
          <w:p w14:paraId="65D2252B" w14:textId="05961EBC" w:rsidR="00BC0D26" w:rsidRPr="00046D11" w:rsidRDefault="00BC0D26" w:rsidP="1D4EF1E9">
            <w:pPr>
              <w:pStyle w:val="ListParagraph"/>
              <w:numPr>
                <w:ilvl w:val="0"/>
                <w:numId w:val="7"/>
              </w:numPr>
              <w:spacing w:before="180" w:after="60"/>
              <w:ind w:left="357" w:hanging="357"/>
              <w:contextualSpacing w:val="0"/>
              <w:jc w:val="both"/>
              <w:rPr>
                <w:rFonts w:ascii="Aptos Display" w:hAnsi="Aptos Display"/>
                <w:lang w:eastAsia="en-AU"/>
              </w:rPr>
            </w:pPr>
            <w:r w:rsidRPr="00046D11">
              <w:rPr>
                <w:rFonts w:ascii="Aptos Display" w:hAnsi="Aptos Display"/>
                <w:b/>
                <w:lang w:eastAsia="en-AU"/>
              </w:rPr>
              <w:t xml:space="preserve">Ensure that all relevant documents are </w:t>
            </w:r>
            <w:r w:rsidR="00DA2C6E" w:rsidRPr="00046D11">
              <w:rPr>
                <w:rFonts w:ascii="Aptos Display" w:hAnsi="Aptos Display"/>
                <w:b/>
                <w:lang w:eastAsia="en-AU"/>
              </w:rPr>
              <w:t>approved in Folio.</w:t>
            </w:r>
          </w:p>
        </w:tc>
      </w:tr>
    </w:tbl>
    <w:p w14:paraId="6A37E737" w14:textId="77777777" w:rsidR="00DE6F75" w:rsidRPr="00046D11" w:rsidRDefault="00DE6F75" w:rsidP="1D4EF1E9">
      <w:pPr>
        <w:pStyle w:val="Heading4"/>
        <w:jc w:val="both"/>
        <w:rPr>
          <w:rFonts w:ascii="Aptos Display" w:hAnsi="Aptos Display"/>
          <w:b/>
          <w:bCs/>
          <w:color w:val="0D0D0D" w:themeColor="text1" w:themeTint="F2"/>
        </w:rPr>
      </w:pPr>
    </w:p>
    <w:p w14:paraId="4DEDCE9F" w14:textId="30A94E91" w:rsidR="002A72E0" w:rsidRPr="00046D11" w:rsidRDefault="002A72E0" w:rsidP="1D4EF1E9">
      <w:pPr>
        <w:ind w:left="992" w:hanging="992"/>
        <w:jc w:val="both"/>
        <w:rPr>
          <w:rFonts w:ascii="Aptos Display" w:eastAsia="Corbel" w:hAnsi="Aptos Display" w:cs="Corbel"/>
          <w:b/>
          <w:lang w:val="en-US"/>
        </w:rPr>
      </w:pPr>
      <w:r w:rsidRPr="00046D11">
        <w:rPr>
          <w:rFonts w:ascii="Aptos Display" w:eastAsia="Corbel" w:hAnsi="Aptos Display" w:cs="Corbel"/>
          <w:b/>
          <w:lang w:val="en-US"/>
        </w:rPr>
        <w:t>Guard against improper influence over a procurement process</w:t>
      </w:r>
    </w:p>
    <w:p w14:paraId="371C821A" w14:textId="19A3FB37" w:rsidR="002A72E0" w:rsidRPr="00046D11" w:rsidRDefault="002A72E0" w:rsidP="1D4EF1E9">
      <w:pPr>
        <w:jc w:val="both"/>
        <w:rPr>
          <w:rFonts w:ascii="Aptos Display" w:hAnsi="Aptos Display"/>
          <w:lang w:eastAsia="en-AU"/>
        </w:rPr>
      </w:pPr>
      <w:r w:rsidRPr="00046D11">
        <w:rPr>
          <w:rFonts w:ascii="Aptos Display" w:hAnsi="Aptos Display"/>
          <w:lang w:eastAsia="en-AU"/>
        </w:rPr>
        <w:t xml:space="preserve">Sometimes a situation may arise where a person external to the process seeks to exert influence over </w:t>
      </w:r>
      <w:r w:rsidR="00526AB3" w:rsidRPr="00046D11">
        <w:rPr>
          <w:rFonts w:ascii="Aptos Display" w:hAnsi="Aptos Display"/>
          <w:lang w:eastAsia="en-AU"/>
        </w:rPr>
        <w:t>the panel</w:t>
      </w:r>
      <w:r w:rsidRPr="00046D11">
        <w:rPr>
          <w:rFonts w:ascii="Aptos Display" w:hAnsi="Aptos Display"/>
          <w:lang w:eastAsia="en-AU"/>
        </w:rPr>
        <w:t xml:space="preserve"> (e.g. hinting that a particular supplier is preferred, asking inappropriate questions about the process).</w:t>
      </w:r>
    </w:p>
    <w:p w14:paraId="5BB7FF34" w14:textId="22ABD78A" w:rsidR="002A72E0" w:rsidRPr="00046D11" w:rsidRDefault="002A72E0" w:rsidP="1D4EF1E9">
      <w:pPr>
        <w:jc w:val="both"/>
        <w:rPr>
          <w:rFonts w:ascii="Aptos Display" w:hAnsi="Aptos Display"/>
          <w:bCs/>
          <w:lang w:eastAsia="en-AU"/>
        </w:rPr>
      </w:pPr>
      <w:r w:rsidRPr="00046D11">
        <w:rPr>
          <w:rFonts w:ascii="Aptos Display" w:hAnsi="Aptos Display"/>
          <w:bCs/>
          <w:lang w:eastAsia="en-AU"/>
        </w:rPr>
        <w:t xml:space="preserve">Situations such as this are serious and may constitute corrupt conduct. </w:t>
      </w:r>
      <w:r w:rsidR="007E2EA9" w:rsidRPr="00046D11">
        <w:rPr>
          <w:rFonts w:ascii="Aptos Display" w:hAnsi="Aptos Display"/>
          <w:bCs/>
          <w:lang w:eastAsia="en-AU"/>
        </w:rPr>
        <w:t xml:space="preserve">Where this occurs </w:t>
      </w:r>
      <w:r w:rsidR="00D714A0" w:rsidRPr="00046D11">
        <w:rPr>
          <w:rFonts w:ascii="Aptos Display" w:hAnsi="Aptos Display"/>
          <w:bCs/>
          <w:lang w:eastAsia="en-AU"/>
        </w:rPr>
        <w:t>it is important to:</w:t>
      </w:r>
    </w:p>
    <w:p w14:paraId="1E83D98E" w14:textId="77777777" w:rsidR="002A72E0" w:rsidRPr="00046D11" w:rsidRDefault="002A72E0" w:rsidP="1D4EF1E9">
      <w:pPr>
        <w:pStyle w:val="ListParagraph"/>
        <w:numPr>
          <w:ilvl w:val="0"/>
          <w:numId w:val="10"/>
        </w:numPr>
        <w:spacing w:before="180" w:after="120" w:line="264" w:lineRule="auto"/>
        <w:jc w:val="both"/>
        <w:rPr>
          <w:rFonts w:ascii="Aptos Display" w:hAnsi="Aptos Display" w:cs="Arial"/>
        </w:rPr>
      </w:pPr>
      <w:r w:rsidRPr="00046D11">
        <w:rPr>
          <w:rFonts w:ascii="Aptos Display" w:hAnsi="Aptos Display" w:cs="Arial"/>
        </w:rPr>
        <w:t>maintain strict confidentiality over the process and not disclose any information</w:t>
      </w:r>
    </w:p>
    <w:p w14:paraId="433DE20B" w14:textId="77777777" w:rsidR="002A72E0" w:rsidRPr="00046D11" w:rsidRDefault="002A72E0" w:rsidP="1D4EF1E9">
      <w:pPr>
        <w:pStyle w:val="ListParagraph"/>
        <w:numPr>
          <w:ilvl w:val="0"/>
          <w:numId w:val="10"/>
        </w:numPr>
        <w:spacing w:before="180" w:after="120" w:line="264" w:lineRule="auto"/>
        <w:jc w:val="both"/>
        <w:rPr>
          <w:rFonts w:ascii="Aptos Display" w:hAnsi="Aptos Display" w:cs="Arial"/>
        </w:rPr>
      </w:pPr>
      <w:r w:rsidRPr="00046D11">
        <w:rPr>
          <w:rFonts w:ascii="Aptos Display" w:hAnsi="Aptos Display" w:cs="Arial"/>
        </w:rPr>
        <w:t>document details regarding the approach</w:t>
      </w:r>
    </w:p>
    <w:p w14:paraId="3815A872" w14:textId="5EBD4E41" w:rsidR="002A72E0" w:rsidRPr="00046D11" w:rsidRDefault="002A72E0" w:rsidP="1D4EF1E9">
      <w:pPr>
        <w:pStyle w:val="ListParagraph"/>
        <w:numPr>
          <w:ilvl w:val="0"/>
          <w:numId w:val="10"/>
        </w:numPr>
        <w:spacing w:before="180" w:after="120" w:line="264" w:lineRule="auto"/>
        <w:jc w:val="both"/>
        <w:rPr>
          <w:rFonts w:ascii="Aptos Display" w:hAnsi="Aptos Display" w:cs="Arial"/>
        </w:rPr>
      </w:pPr>
      <w:r w:rsidRPr="00046D11">
        <w:rPr>
          <w:rFonts w:ascii="Aptos Display" w:hAnsi="Aptos Display" w:cs="Arial"/>
        </w:rPr>
        <w:t xml:space="preserve">report the incident to </w:t>
      </w:r>
      <w:r w:rsidR="00D714A0" w:rsidRPr="00046D11">
        <w:rPr>
          <w:rFonts w:ascii="Aptos Display" w:hAnsi="Aptos Display" w:cs="Arial"/>
        </w:rPr>
        <w:t>the Executive Director or CEO</w:t>
      </w:r>
      <w:r w:rsidRPr="00046D11">
        <w:rPr>
          <w:rFonts w:ascii="Aptos Display" w:hAnsi="Aptos Display" w:cs="Arial"/>
        </w:rPr>
        <w:t>.</w:t>
      </w:r>
    </w:p>
    <w:p w14:paraId="31EBFF32" w14:textId="77777777" w:rsidR="002A72E0" w:rsidRPr="00046D11" w:rsidRDefault="002A72E0" w:rsidP="1D4EF1E9">
      <w:pPr>
        <w:ind w:left="992" w:hanging="992"/>
        <w:jc w:val="both"/>
        <w:rPr>
          <w:rFonts w:ascii="Aptos Display" w:eastAsia="Corbel" w:hAnsi="Aptos Display" w:cs="Corbel"/>
          <w:b/>
          <w:lang w:val="en-US"/>
        </w:rPr>
      </w:pPr>
      <w:bookmarkStart w:id="5" w:name="_Toc77338201"/>
      <w:bookmarkStart w:id="6" w:name="_Toc47942939"/>
      <w:bookmarkStart w:id="7" w:name="_Toc47943041"/>
      <w:bookmarkStart w:id="8" w:name="_Toc47943120"/>
      <w:bookmarkStart w:id="9" w:name="_Toc55888650"/>
      <w:bookmarkStart w:id="10" w:name="_Toc56171343"/>
      <w:bookmarkStart w:id="11" w:name="_Toc47942940"/>
      <w:bookmarkStart w:id="12" w:name="_Toc47943042"/>
      <w:bookmarkStart w:id="13" w:name="_Toc47943121"/>
      <w:bookmarkStart w:id="14" w:name="_Toc55888651"/>
      <w:bookmarkStart w:id="15" w:name="_Toc56171344"/>
      <w:bookmarkStart w:id="16" w:name="_Toc494373744"/>
      <w:bookmarkStart w:id="17" w:name="_Toc517676714"/>
      <w:bookmarkStart w:id="18" w:name="_Toc56171354"/>
      <w:bookmarkStart w:id="19" w:name="_Toc202939768"/>
      <w:bookmarkEnd w:id="5"/>
      <w:bookmarkEnd w:id="6"/>
      <w:bookmarkEnd w:id="7"/>
      <w:bookmarkEnd w:id="8"/>
      <w:bookmarkEnd w:id="9"/>
      <w:bookmarkEnd w:id="10"/>
      <w:bookmarkEnd w:id="11"/>
      <w:bookmarkEnd w:id="12"/>
      <w:bookmarkEnd w:id="13"/>
      <w:bookmarkEnd w:id="14"/>
      <w:bookmarkEnd w:id="15"/>
      <w:r w:rsidRPr="00046D11">
        <w:rPr>
          <w:rFonts w:ascii="Aptos Display" w:eastAsia="Corbel" w:hAnsi="Aptos Display" w:cs="Corbel"/>
          <w:b/>
          <w:lang w:val="en-US"/>
        </w:rPr>
        <w:t xml:space="preserve">Managing conflicts of interest </w:t>
      </w:r>
      <w:bookmarkEnd w:id="16"/>
      <w:bookmarkEnd w:id="17"/>
      <w:bookmarkEnd w:id="18"/>
      <w:bookmarkEnd w:id="19"/>
    </w:p>
    <w:p w14:paraId="45A9FC94" w14:textId="77777777" w:rsidR="002A72E0" w:rsidRPr="00046D11" w:rsidRDefault="002A72E0" w:rsidP="1D4EF1E9">
      <w:pPr>
        <w:jc w:val="both"/>
        <w:rPr>
          <w:rFonts w:ascii="Aptos Display" w:hAnsi="Aptos Display"/>
          <w:bCs/>
          <w:lang w:eastAsia="en-AU"/>
        </w:rPr>
      </w:pPr>
      <w:r w:rsidRPr="00046D11">
        <w:rPr>
          <w:rFonts w:ascii="Aptos Display" w:hAnsi="Aptos Display"/>
          <w:bCs/>
          <w:lang w:eastAsia="en-AU"/>
        </w:rPr>
        <w:t>This focus area aims to ensure that any conflict of interest is identified and appropriately managed.</w:t>
      </w:r>
    </w:p>
    <w:p w14:paraId="5D200D5D" w14:textId="77777777" w:rsidR="002A72E0" w:rsidRPr="00046D11" w:rsidRDefault="002A72E0" w:rsidP="1D4EF1E9">
      <w:pPr>
        <w:jc w:val="both"/>
        <w:rPr>
          <w:rFonts w:ascii="Aptos Display" w:hAnsi="Aptos Display"/>
          <w:lang w:eastAsia="en-AU"/>
        </w:rPr>
      </w:pPr>
      <w:r w:rsidRPr="00046D11">
        <w:rPr>
          <w:rFonts w:ascii="Aptos Display" w:hAnsi="Aptos Display"/>
          <w:lang w:eastAsia="en-AU"/>
        </w:rPr>
        <w:t>It is important to remember that an actual conflict of interest does not need to exist for there to be an issue. Conflicts of interest can be either actual, perceived, or potential:</w:t>
      </w:r>
    </w:p>
    <w:p w14:paraId="31AD7EE1" w14:textId="77777777" w:rsidR="002A72E0" w:rsidRPr="00046D11" w:rsidRDefault="002A72E0" w:rsidP="1D4EF1E9">
      <w:pPr>
        <w:pStyle w:val="ListParagraph"/>
        <w:numPr>
          <w:ilvl w:val="0"/>
          <w:numId w:val="9"/>
        </w:numPr>
        <w:spacing w:before="180" w:after="60" w:line="264" w:lineRule="auto"/>
        <w:jc w:val="both"/>
        <w:rPr>
          <w:rFonts w:ascii="Aptos Display" w:hAnsi="Aptos Display"/>
          <w:lang w:eastAsia="en-AU"/>
        </w:rPr>
      </w:pPr>
      <w:r w:rsidRPr="00046D11">
        <w:rPr>
          <w:rFonts w:ascii="Aptos Display" w:hAnsi="Aptos Display"/>
          <w:b/>
          <w:lang w:eastAsia="en-AU"/>
        </w:rPr>
        <w:t>actual</w:t>
      </w:r>
      <w:r w:rsidRPr="00046D11">
        <w:rPr>
          <w:rFonts w:ascii="Aptos Display" w:hAnsi="Aptos Display"/>
          <w:lang w:eastAsia="en-AU"/>
        </w:rPr>
        <w:t>,</w:t>
      </w:r>
      <w:r w:rsidRPr="00046D11">
        <w:rPr>
          <w:rFonts w:ascii="Aptos Display" w:hAnsi="Aptos Display"/>
        </w:rPr>
        <w:t xml:space="preserve"> </w:t>
      </w:r>
      <w:r w:rsidRPr="00046D11">
        <w:rPr>
          <w:rFonts w:ascii="Aptos Display" w:hAnsi="Aptos Display"/>
          <w:lang w:eastAsia="en-AU"/>
        </w:rPr>
        <w:t xml:space="preserve">where an officer is in a position </w:t>
      </w:r>
      <w:r w:rsidRPr="00046D11">
        <w:rPr>
          <w:rFonts w:ascii="Aptos Display" w:hAnsi="Aptos Display"/>
          <w:i/>
          <w:lang w:eastAsia="en-AU"/>
        </w:rPr>
        <w:t>to be influenced</w:t>
      </w:r>
      <w:r w:rsidRPr="00046D11">
        <w:rPr>
          <w:rFonts w:ascii="Aptos Display" w:hAnsi="Aptos Display"/>
          <w:lang w:eastAsia="en-AU"/>
        </w:rPr>
        <w:t xml:space="preserve"> by their personal interests when doing their job</w:t>
      </w:r>
    </w:p>
    <w:p w14:paraId="67E94C43" w14:textId="77777777" w:rsidR="002A72E0" w:rsidRPr="00046D11" w:rsidRDefault="002A72E0" w:rsidP="1D4EF1E9">
      <w:pPr>
        <w:pStyle w:val="ListParagraph"/>
        <w:numPr>
          <w:ilvl w:val="0"/>
          <w:numId w:val="8"/>
        </w:numPr>
        <w:spacing w:before="180" w:after="60" w:line="264" w:lineRule="auto"/>
        <w:jc w:val="both"/>
        <w:rPr>
          <w:rFonts w:ascii="Aptos Display" w:hAnsi="Aptos Display"/>
          <w:lang w:eastAsia="en-AU"/>
        </w:rPr>
      </w:pPr>
      <w:r w:rsidRPr="00046D11">
        <w:rPr>
          <w:rFonts w:ascii="Aptos Display" w:hAnsi="Aptos Display"/>
          <w:b/>
          <w:lang w:eastAsia="en-AU"/>
        </w:rPr>
        <w:t>perceived</w:t>
      </w:r>
      <w:r w:rsidRPr="00046D11">
        <w:rPr>
          <w:rFonts w:ascii="Aptos Display" w:hAnsi="Aptos Display"/>
          <w:lang w:eastAsia="en-AU"/>
        </w:rPr>
        <w:t>, where an officer is in a position</w:t>
      </w:r>
      <w:r w:rsidRPr="00046D11">
        <w:rPr>
          <w:rFonts w:ascii="Aptos Display" w:hAnsi="Aptos Display"/>
          <w:i/>
          <w:lang w:eastAsia="en-AU"/>
        </w:rPr>
        <w:t xml:space="preserve"> to appear to be influenced</w:t>
      </w:r>
      <w:r w:rsidRPr="00046D11">
        <w:rPr>
          <w:rFonts w:ascii="Aptos Display" w:hAnsi="Aptos Display"/>
          <w:lang w:eastAsia="en-AU"/>
        </w:rPr>
        <w:t xml:space="preserve"> by their personal interests when doing their job</w:t>
      </w:r>
    </w:p>
    <w:p w14:paraId="7C1F8DF6" w14:textId="77777777" w:rsidR="002A72E0" w:rsidRPr="00046D11" w:rsidRDefault="002A72E0" w:rsidP="1D4EF1E9">
      <w:pPr>
        <w:pStyle w:val="ListParagraph"/>
        <w:numPr>
          <w:ilvl w:val="0"/>
          <w:numId w:val="8"/>
        </w:numPr>
        <w:spacing w:before="180" w:after="120" w:line="264" w:lineRule="auto"/>
        <w:ind w:left="714" w:hanging="357"/>
        <w:jc w:val="both"/>
        <w:rPr>
          <w:rFonts w:ascii="Aptos Display" w:hAnsi="Aptos Display"/>
          <w:lang w:eastAsia="en-AU"/>
        </w:rPr>
      </w:pPr>
      <w:r w:rsidRPr="00046D11">
        <w:rPr>
          <w:rFonts w:ascii="Aptos Display" w:hAnsi="Aptos Display"/>
          <w:b/>
          <w:lang w:eastAsia="en-AU"/>
        </w:rPr>
        <w:t>potential</w:t>
      </w:r>
      <w:r w:rsidRPr="00046D11">
        <w:rPr>
          <w:rFonts w:ascii="Aptos Display" w:hAnsi="Aptos Display"/>
          <w:lang w:eastAsia="en-AU"/>
        </w:rPr>
        <w:t xml:space="preserve">, where an officer is in a position where they </w:t>
      </w:r>
      <w:r w:rsidRPr="00046D11">
        <w:rPr>
          <w:rFonts w:ascii="Aptos Display" w:hAnsi="Aptos Display"/>
          <w:i/>
          <w:lang w:eastAsia="en-AU"/>
        </w:rPr>
        <w:t>may be influenced in the future</w:t>
      </w:r>
      <w:r w:rsidRPr="00046D11">
        <w:rPr>
          <w:rFonts w:ascii="Aptos Display" w:hAnsi="Aptos Display"/>
          <w:lang w:eastAsia="en-AU"/>
        </w:rPr>
        <w:t xml:space="preserve"> by their personal interests when doing their job.</w:t>
      </w:r>
    </w:p>
    <w:p w14:paraId="334330EF" w14:textId="77777777" w:rsidR="00FF4C35" w:rsidRPr="00046D11" w:rsidRDefault="00FF4C35" w:rsidP="00FF4C35">
      <w:pPr>
        <w:autoSpaceDE w:val="0"/>
        <w:autoSpaceDN w:val="0"/>
        <w:adjustRightInd w:val="0"/>
        <w:spacing w:after="0" w:line="240" w:lineRule="auto"/>
        <w:ind w:left="720" w:hanging="720"/>
        <w:jc w:val="both"/>
        <w:rPr>
          <w:rFonts w:ascii="Aptos Display" w:eastAsia="Corbel" w:hAnsi="Aptos Display" w:cs="Corbel"/>
          <w:lang w:val="en-US"/>
        </w:rPr>
      </w:pPr>
      <w:r w:rsidRPr="00046D11">
        <w:rPr>
          <w:rFonts w:ascii="Aptos Display" w:eastAsia="Corbel" w:hAnsi="Aptos Display" w:cs="Corbel"/>
          <w:lang w:val="en-US"/>
        </w:rPr>
        <w:t xml:space="preserve">Some examples of conflicting interests include: </w:t>
      </w:r>
    </w:p>
    <w:p w14:paraId="33B91D23" w14:textId="59D0646A" w:rsidR="00FF4C35" w:rsidRPr="00046D11" w:rsidRDefault="00FF4C35" w:rsidP="1D4EF1E9">
      <w:pPr>
        <w:pStyle w:val="ListParagraph"/>
        <w:numPr>
          <w:ilvl w:val="0"/>
          <w:numId w:val="9"/>
        </w:numPr>
        <w:spacing w:before="180" w:after="60" w:line="264" w:lineRule="auto"/>
        <w:jc w:val="both"/>
        <w:rPr>
          <w:rFonts w:ascii="Aptos Display" w:hAnsi="Aptos Display"/>
          <w:bCs/>
          <w:lang w:eastAsia="en-AU"/>
        </w:rPr>
      </w:pPr>
      <w:r w:rsidRPr="00046D11">
        <w:rPr>
          <w:rFonts w:ascii="Aptos Display" w:hAnsi="Aptos Display"/>
          <w:bCs/>
          <w:lang w:eastAsia="en-AU"/>
        </w:rPr>
        <w:t xml:space="preserve">any personal financial interest in the project; </w:t>
      </w:r>
    </w:p>
    <w:p w14:paraId="5F9F9929" w14:textId="740CC5F6" w:rsidR="00FF4C35" w:rsidRPr="00046D11" w:rsidRDefault="00FF4C35" w:rsidP="1D4EF1E9">
      <w:pPr>
        <w:pStyle w:val="ListParagraph"/>
        <w:numPr>
          <w:ilvl w:val="0"/>
          <w:numId w:val="9"/>
        </w:numPr>
        <w:spacing w:before="180" w:after="60" w:line="264" w:lineRule="auto"/>
        <w:jc w:val="both"/>
        <w:rPr>
          <w:rFonts w:ascii="Aptos Display" w:hAnsi="Aptos Display"/>
          <w:bCs/>
          <w:lang w:eastAsia="en-AU"/>
        </w:rPr>
      </w:pPr>
      <w:r w:rsidRPr="00046D11">
        <w:rPr>
          <w:rFonts w:ascii="Aptos Display" w:hAnsi="Aptos Display"/>
          <w:bCs/>
          <w:lang w:eastAsia="en-AU"/>
        </w:rPr>
        <w:t xml:space="preserve">any immediate relatives, close friends or business associates with a financial interest in the project; </w:t>
      </w:r>
    </w:p>
    <w:p w14:paraId="08C3A4BF" w14:textId="6CA5C94A" w:rsidR="00FF4C35" w:rsidRPr="00046D11" w:rsidRDefault="00FF4C35" w:rsidP="1D4EF1E9">
      <w:pPr>
        <w:pStyle w:val="ListParagraph"/>
        <w:numPr>
          <w:ilvl w:val="0"/>
          <w:numId w:val="9"/>
        </w:numPr>
        <w:spacing w:before="180" w:after="60" w:line="264" w:lineRule="auto"/>
        <w:jc w:val="both"/>
        <w:rPr>
          <w:rFonts w:ascii="Aptos Display" w:hAnsi="Aptos Display"/>
          <w:bCs/>
          <w:lang w:eastAsia="en-AU"/>
        </w:rPr>
      </w:pPr>
      <w:r w:rsidRPr="00046D11">
        <w:rPr>
          <w:rFonts w:ascii="Aptos Display" w:hAnsi="Aptos Display"/>
          <w:bCs/>
          <w:lang w:eastAsia="en-AU"/>
        </w:rPr>
        <w:t xml:space="preserve">any personal bias or inclination which would in any way affect an individual’s decisions in relation to the project; and </w:t>
      </w:r>
    </w:p>
    <w:p w14:paraId="5493E79C" w14:textId="0F975B2B" w:rsidR="00FF4C35" w:rsidRPr="00046D11" w:rsidRDefault="00FF4C35" w:rsidP="1D4EF1E9">
      <w:pPr>
        <w:pStyle w:val="ListParagraph"/>
        <w:numPr>
          <w:ilvl w:val="0"/>
          <w:numId w:val="9"/>
        </w:numPr>
        <w:spacing w:before="180" w:after="60" w:line="264" w:lineRule="auto"/>
        <w:jc w:val="both"/>
        <w:rPr>
          <w:rFonts w:ascii="Aptos Display" w:eastAsia="Corbel" w:hAnsi="Aptos Display" w:cs="Corbel"/>
          <w:bCs/>
          <w:lang w:val="en-US"/>
        </w:rPr>
      </w:pPr>
      <w:r w:rsidRPr="00046D11">
        <w:rPr>
          <w:rFonts w:ascii="Aptos Display" w:hAnsi="Aptos Display"/>
          <w:bCs/>
          <w:lang w:eastAsia="en-AU"/>
        </w:rPr>
        <w:t>any personal obligation, allegiance or loyalty which would in any way affect an individual’s decisions</w:t>
      </w:r>
      <w:r w:rsidRPr="00046D11">
        <w:rPr>
          <w:rFonts w:ascii="Aptos Display" w:eastAsia="Corbel" w:hAnsi="Aptos Display" w:cs="Corbel"/>
          <w:bCs/>
          <w:lang w:val="en-US"/>
        </w:rPr>
        <w:t xml:space="preserve"> in relation to the project. </w:t>
      </w:r>
    </w:p>
    <w:p w14:paraId="57204306" w14:textId="2CF5BE27" w:rsidR="002A72E0" w:rsidRPr="00046D11" w:rsidRDefault="002A72E0" w:rsidP="1D4EF1E9">
      <w:pPr>
        <w:jc w:val="both"/>
        <w:rPr>
          <w:rFonts w:ascii="Aptos Display" w:hAnsi="Aptos Display"/>
          <w:lang w:eastAsia="en-AU"/>
        </w:rPr>
      </w:pPr>
      <w:r w:rsidRPr="00046D11">
        <w:rPr>
          <w:rFonts w:ascii="Aptos Display" w:hAnsi="Aptos Display"/>
          <w:lang w:eastAsia="en-AU"/>
        </w:rPr>
        <w:t>Managing all three types of conflicts (not just actual conflicts) is vital to ensure the integrity of any procurement activity and to reduce the risk of fraud and corruption – even a poorly managed perceived or potential conflict can be just as damaging as an actual conflict.</w:t>
      </w:r>
    </w:p>
    <w:p w14:paraId="47E7933F" w14:textId="2F40B84A" w:rsidR="004702D8" w:rsidRPr="00046D11" w:rsidRDefault="003A009C" w:rsidP="1D4EF1E9">
      <w:pPr>
        <w:jc w:val="both"/>
        <w:rPr>
          <w:rFonts w:ascii="Aptos Display" w:hAnsi="Aptos Display"/>
          <w:lang w:eastAsia="en-AU"/>
        </w:rPr>
      </w:pPr>
      <w:r w:rsidRPr="1D4EF1E9">
        <w:rPr>
          <w:rFonts w:ascii="Aptos Display" w:hAnsi="Aptos Display"/>
          <w:lang w:eastAsia="en-AU"/>
        </w:rPr>
        <w:t xml:space="preserve">Refer to the </w:t>
      </w:r>
      <w:hyperlink r:id="rId15" w:history="1">
        <w:r w:rsidR="003C0AB1">
          <w:rPr>
            <w:rStyle w:val="Hyperlink"/>
          </w:rPr>
          <w:t>Conflict of Interest Policy</w:t>
        </w:r>
      </w:hyperlink>
      <w:r w:rsidR="003C0AB1">
        <w:t xml:space="preserve"> </w:t>
      </w:r>
      <w:commentRangeStart w:id="20"/>
      <w:commentRangeStart w:id="21"/>
      <w:commentRangeStart w:id="22"/>
      <w:r w:rsidR="00CA65F7" w:rsidRPr="1D4EF1E9">
        <w:rPr>
          <w:rFonts w:ascii="Aptos Display" w:hAnsi="Aptos Display"/>
          <w:lang w:eastAsia="en-AU"/>
        </w:rPr>
        <w:t xml:space="preserve"> </w:t>
      </w:r>
      <w:commentRangeEnd w:id="20"/>
      <w:r w:rsidR="007E0223" w:rsidRPr="1D4EF1E9">
        <w:rPr>
          <w:rStyle w:val="CommentReference"/>
          <w:rFonts w:ascii="Aptos Display" w:hAnsi="Aptos Display"/>
          <w:sz w:val="22"/>
          <w:szCs w:val="22"/>
          <w:lang w:eastAsia="en-AU"/>
        </w:rPr>
        <w:commentReference w:id="20"/>
      </w:r>
      <w:commentRangeEnd w:id="21"/>
      <w:r w:rsidR="004F48D9">
        <w:rPr>
          <w:rStyle w:val="CommentReference"/>
        </w:rPr>
        <w:commentReference w:id="21"/>
      </w:r>
      <w:commentRangeEnd w:id="22"/>
      <w:r>
        <w:rPr>
          <w:rStyle w:val="CommentReference"/>
        </w:rPr>
        <w:commentReference w:id="22"/>
      </w:r>
      <w:r w:rsidR="00C3361A" w:rsidRPr="1D4EF1E9">
        <w:rPr>
          <w:rFonts w:ascii="Aptos Display" w:hAnsi="Aptos Display"/>
          <w:lang w:eastAsia="en-AU"/>
        </w:rPr>
        <w:t xml:space="preserve">for more information </w:t>
      </w:r>
      <w:r w:rsidR="002E3ED8" w:rsidRPr="1D4EF1E9">
        <w:rPr>
          <w:rFonts w:ascii="Aptos Display" w:hAnsi="Aptos Display"/>
          <w:lang w:eastAsia="en-AU"/>
        </w:rPr>
        <w:t>and guidance.</w:t>
      </w:r>
    </w:p>
    <w:p w14:paraId="5AFC078A" w14:textId="013D1FDB" w:rsidR="00E7764C" w:rsidRPr="00046D11" w:rsidRDefault="00E7764C" w:rsidP="1D4EF1E9">
      <w:pPr>
        <w:pStyle w:val="Default"/>
        <w:widowControl w:val="0"/>
        <w:jc w:val="both"/>
        <w:rPr>
          <w:rFonts w:ascii="Aptos Display" w:eastAsia="Corbel" w:hAnsi="Aptos Display" w:cs="Corbel"/>
          <w:b/>
          <w:color w:val="auto"/>
          <w:sz w:val="22"/>
          <w:szCs w:val="22"/>
          <w:lang w:val="en-US"/>
        </w:rPr>
      </w:pPr>
      <w:r w:rsidRPr="00046D11">
        <w:rPr>
          <w:rFonts w:ascii="Aptos Display" w:eastAsia="Corbel" w:hAnsi="Aptos Display" w:cs="Corbel"/>
          <w:b/>
          <w:color w:val="auto"/>
          <w:sz w:val="22"/>
          <w:szCs w:val="22"/>
          <w:lang w:val="en-US"/>
        </w:rPr>
        <w:t>Roles and Responsibilit</w:t>
      </w:r>
      <w:r w:rsidR="00A9484E" w:rsidRPr="00046D11">
        <w:rPr>
          <w:rFonts w:ascii="Aptos Display" w:eastAsia="Corbel" w:hAnsi="Aptos Display" w:cs="Corbel"/>
          <w:b/>
          <w:color w:val="auto"/>
          <w:sz w:val="22"/>
          <w:szCs w:val="22"/>
          <w:lang w:val="en-US"/>
        </w:rPr>
        <w:t xml:space="preserve">ies </w:t>
      </w:r>
    </w:p>
    <w:p w14:paraId="779A42E7" w14:textId="77777777" w:rsidR="00A9484E" w:rsidRPr="00046D11" w:rsidRDefault="00A9484E" w:rsidP="1D4EF1E9">
      <w:pPr>
        <w:pStyle w:val="Default"/>
        <w:widowControl w:val="0"/>
        <w:jc w:val="both"/>
        <w:rPr>
          <w:rFonts w:ascii="Aptos Display" w:eastAsia="Corbel" w:hAnsi="Aptos Display" w:cs="Corbel"/>
          <w:b/>
          <w:color w:val="auto"/>
          <w:sz w:val="22"/>
          <w:szCs w:val="22"/>
          <w:lang w:val="en-US"/>
        </w:rPr>
      </w:pPr>
    </w:p>
    <w:p w14:paraId="7AB05D66" w14:textId="190F1658" w:rsidR="00E7764C" w:rsidRPr="00046D11" w:rsidRDefault="00E7764C" w:rsidP="1D4EF1E9">
      <w:pPr>
        <w:jc w:val="both"/>
        <w:rPr>
          <w:rFonts w:ascii="Aptos Display" w:hAnsi="Aptos Display"/>
        </w:rPr>
      </w:pPr>
      <w:r w:rsidRPr="00046D11">
        <w:rPr>
          <w:rFonts w:ascii="Aptos Display" w:hAnsi="Aptos Display"/>
        </w:rPr>
        <w:t>The Board and</w:t>
      </w:r>
      <w:r w:rsidR="008F2250">
        <w:rPr>
          <w:rFonts w:ascii="Aptos Display" w:hAnsi="Aptos Display"/>
        </w:rPr>
        <w:t xml:space="preserve"> Senior Management</w:t>
      </w:r>
      <w:r w:rsidRPr="00046D11">
        <w:rPr>
          <w:rFonts w:ascii="Aptos Display" w:hAnsi="Aptos Display"/>
        </w:rPr>
        <w:t xml:space="preserve"> are responsible for setting the tone and expected standard of behaviour that supports </w:t>
      </w:r>
      <w:r w:rsidR="00A9484E" w:rsidRPr="00046D11">
        <w:rPr>
          <w:rFonts w:ascii="Aptos Display" w:hAnsi="Aptos Display"/>
        </w:rPr>
        <w:t>probity in procurement.</w:t>
      </w:r>
    </w:p>
    <w:p w14:paraId="246D3C46" w14:textId="17391773" w:rsidR="00185838" w:rsidRPr="00046D11" w:rsidRDefault="00185838" w:rsidP="00185838">
      <w:pPr>
        <w:pStyle w:val="Default"/>
        <w:tabs>
          <w:tab w:val="left" w:pos="426"/>
        </w:tabs>
        <w:jc w:val="both"/>
        <w:rPr>
          <w:rFonts w:ascii="Aptos Display" w:hAnsi="Aptos Display"/>
          <w:sz w:val="22"/>
          <w:szCs w:val="22"/>
        </w:rPr>
      </w:pPr>
      <w:r w:rsidRPr="00046D11">
        <w:rPr>
          <w:rFonts w:ascii="Aptos Display" w:hAnsi="Aptos Display"/>
          <w:sz w:val="22"/>
          <w:szCs w:val="22"/>
        </w:rPr>
        <w:t>All staff are responsible for adopting a proactive approach to ensure probity is integrated into each procurement process.</w:t>
      </w:r>
    </w:p>
    <w:p w14:paraId="0D6CDD2A" w14:textId="77777777" w:rsidR="00185838" w:rsidRDefault="00185838" w:rsidP="1D4EF1E9">
      <w:pPr>
        <w:jc w:val="both"/>
        <w:rPr>
          <w:lang w:eastAsia="en-AU"/>
        </w:rPr>
      </w:pPr>
    </w:p>
    <w:p w14:paraId="3EDEED40" w14:textId="77777777" w:rsidR="00BA32D4" w:rsidRPr="008F59E9" w:rsidRDefault="00BA32D4" w:rsidP="1D4EF1E9">
      <w:pPr>
        <w:jc w:val="both"/>
        <w:rPr>
          <w:lang w:eastAsia="en-AU"/>
        </w:rPr>
      </w:pPr>
    </w:p>
    <w:tbl>
      <w:tblPr>
        <w:tblStyle w:val="TableGrid"/>
        <w:tblW w:w="0" w:type="auto"/>
        <w:tblLook w:val="04A0" w:firstRow="1" w:lastRow="0" w:firstColumn="1" w:lastColumn="0" w:noHBand="0" w:noVBand="1"/>
      </w:tblPr>
      <w:tblGrid>
        <w:gridCol w:w="2955"/>
        <w:gridCol w:w="6694"/>
      </w:tblGrid>
      <w:tr w:rsidR="004702D8" w:rsidRPr="00401D9E" w14:paraId="580A7B99" w14:textId="77777777" w:rsidTr="00B840F8">
        <w:tc>
          <w:tcPr>
            <w:tcW w:w="9628" w:type="dxa"/>
            <w:gridSpan w:val="2"/>
            <w:shd w:val="clear" w:color="auto" w:fill="2E74B5" w:themeFill="accent1" w:themeFillShade="BF"/>
          </w:tcPr>
          <w:p w14:paraId="1A08A0B8" w14:textId="77777777" w:rsidR="004702D8" w:rsidRPr="00401D9E" w:rsidRDefault="004702D8" w:rsidP="00B840F8">
            <w:pPr>
              <w:pStyle w:val="Default"/>
              <w:jc w:val="center"/>
              <w:rPr>
                <w:rFonts w:asciiTheme="minorHAnsi" w:hAnsiTheme="minorHAnsi"/>
                <w:color w:val="F2F2F2" w:themeColor="background1" w:themeShade="F2"/>
                <w:sz w:val="20"/>
                <w:szCs w:val="20"/>
              </w:rPr>
            </w:pPr>
            <w:r w:rsidRPr="00401D9E">
              <w:rPr>
                <w:rFonts w:asciiTheme="minorHAnsi" w:hAnsiTheme="minorHAnsi"/>
                <w:b/>
                <w:color w:val="F2F2F2" w:themeColor="background1" w:themeShade="F2"/>
                <w:sz w:val="20"/>
                <w:szCs w:val="20"/>
              </w:rPr>
              <w:t>Roles and Responsibilities</w:t>
            </w:r>
          </w:p>
        </w:tc>
      </w:tr>
      <w:tr w:rsidR="004702D8" w:rsidRPr="00401D9E" w14:paraId="4398D21F" w14:textId="77777777" w:rsidTr="00B840F8">
        <w:tc>
          <w:tcPr>
            <w:tcW w:w="2934" w:type="dxa"/>
          </w:tcPr>
          <w:p w14:paraId="2DABC270" w14:textId="77777777" w:rsidR="004702D8" w:rsidRPr="00046D11" w:rsidRDefault="004702D8" w:rsidP="00B840F8">
            <w:pPr>
              <w:pStyle w:val="Default"/>
              <w:rPr>
                <w:rFonts w:ascii="Aptos Display" w:hAnsi="Aptos Display"/>
                <w:sz w:val="20"/>
                <w:szCs w:val="20"/>
              </w:rPr>
            </w:pPr>
            <w:r w:rsidRPr="00046D11">
              <w:rPr>
                <w:rFonts w:ascii="Aptos Display" w:hAnsi="Aptos Display"/>
                <w:sz w:val="20"/>
                <w:szCs w:val="20"/>
              </w:rPr>
              <w:t>CEO</w:t>
            </w:r>
          </w:p>
        </w:tc>
        <w:tc>
          <w:tcPr>
            <w:tcW w:w="6694" w:type="dxa"/>
          </w:tcPr>
          <w:p w14:paraId="314F2059" w14:textId="64499AC1" w:rsidR="004702D8" w:rsidRPr="00046D11" w:rsidRDefault="00DB7161" w:rsidP="00B840F8">
            <w:pPr>
              <w:pStyle w:val="Default"/>
              <w:rPr>
                <w:rFonts w:ascii="Aptos Display" w:hAnsi="Aptos Display"/>
                <w:sz w:val="20"/>
                <w:szCs w:val="20"/>
              </w:rPr>
            </w:pPr>
            <w:r w:rsidRPr="00046D11">
              <w:rPr>
                <w:rFonts w:ascii="Aptos Display" w:hAnsi="Aptos Display"/>
                <w:sz w:val="20"/>
                <w:szCs w:val="20"/>
              </w:rPr>
              <w:t>Oversight of probity across all procurement activities</w:t>
            </w:r>
          </w:p>
        </w:tc>
      </w:tr>
      <w:tr w:rsidR="004702D8" w:rsidRPr="00401D9E" w14:paraId="04CFD1BC" w14:textId="77777777" w:rsidTr="00B840F8">
        <w:tc>
          <w:tcPr>
            <w:tcW w:w="2934" w:type="dxa"/>
          </w:tcPr>
          <w:p w14:paraId="58C1B64B" w14:textId="16D30694" w:rsidR="004702D8" w:rsidRPr="00046D11" w:rsidRDefault="004702D8" w:rsidP="00B840F8">
            <w:pPr>
              <w:pStyle w:val="Default"/>
              <w:rPr>
                <w:rFonts w:ascii="Aptos Display" w:hAnsi="Aptos Display"/>
                <w:sz w:val="20"/>
                <w:szCs w:val="20"/>
              </w:rPr>
            </w:pPr>
            <w:r w:rsidRPr="00046D11">
              <w:rPr>
                <w:rFonts w:ascii="Aptos Display" w:hAnsi="Aptos Display"/>
                <w:sz w:val="20"/>
                <w:szCs w:val="20"/>
              </w:rPr>
              <w:t xml:space="preserve">Executive </w:t>
            </w:r>
            <w:r w:rsidR="00C23477">
              <w:rPr>
                <w:rFonts w:ascii="Aptos Display" w:hAnsi="Aptos Display"/>
                <w:sz w:val="20"/>
                <w:szCs w:val="20"/>
              </w:rPr>
              <w:t>Director</w:t>
            </w:r>
          </w:p>
        </w:tc>
        <w:tc>
          <w:tcPr>
            <w:tcW w:w="6694" w:type="dxa"/>
          </w:tcPr>
          <w:p w14:paraId="1A7B3C95" w14:textId="5B15CDBB" w:rsidR="004702D8" w:rsidRPr="00046D11" w:rsidRDefault="00675FD4" w:rsidP="00B840F8">
            <w:pPr>
              <w:pStyle w:val="Default"/>
              <w:rPr>
                <w:rFonts w:ascii="Aptos Display" w:hAnsi="Aptos Display"/>
                <w:sz w:val="20"/>
                <w:szCs w:val="20"/>
              </w:rPr>
            </w:pPr>
            <w:r w:rsidRPr="00046D11">
              <w:rPr>
                <w:rFonts w:ascii="Aptos Display" w:hAnsi="Aptos Display"/>
                <w:sz w:val="20"/>
                <w:szCs w:val="20"/>
              </w:rPr>
              <w:t>Decision maker for all probity concerns</w:t>
            </w:r>
          </w:p>
        </w:tc>
      </w:tr>
      <w:tr w:rsidR="004702D8" w:rsidRPr="00401D9E" w14:paraId="25DAA08F" w14:textId="77777777" w:rsidTr="00B840F8">
        <w:tc>
          <w:tcPr>
            <w:tcW w:w="2934" w:type="dxa"/>
          </w:tcPr>
          <w:p w14:paraId="33ADD637" w14:textId="0D43AEED" w:rsidR="004702D8" w:rsidRPr="00046D11" w:rsidRDefault="00A2643D" w:rsidP="00B840F8">
            <w:pPr>
              <w:pStyle w:val="Default"/>
              <w:rPr>
                <w:rFonts w:ascii="Aptos Display" w:hAnsi="Aptos Display"/>
                <w:sz w:val="20"/>
                <w:szCs w:val="20"/>
              </w:rPr>
            </w:pPr>
            <w:r>
              <w:rPr>
                <w:rFonts w:ascii="Aptos Display" w:hAnsi="Aptos Display"/>
                <w:sz w:val="20"/>
                <w:szCs w:val="20"/>
              </w:rPr>
              <w:t>Directors/Managers/Coordinators</w:t>
            </w:r>
          </w:p>
        </w:tc>
        <w:tc>
          <w:tcPr>
            <w:tcW w:w="6694" w:type="dxa"/>
          </w:tcPr>
          <w:p w14:paraId="2EFFC94F" w14:textId="7ECF2170" w:rsidR="004702D8" w:rsidRPr="00046D11" w:rsidRDefault="004702D8" w:rsidP="00B840F8">
            <w:pPr>
              <w:pStyle w:val="Default"/>
              <w:rPr>
                <w:rFonts w:ascii="Aptos Display" w:hAnsi="Aptos Display"/>
                <w:sz w:val="20"/>
                <w:szCs w:val="20"/>
              </w:rPr>
            </w:pPr>
            <w:r w:rsidRPr="00046D11">
              <w:rPr>
                <w:rFonts w:ascii="Aptos Display" w:hAnsi="Aptos Display"/>
                <w:sz w:val="20"/>
                <w:szCs w:val="20"/>
              </w:rPr>
              <w:t xml:space="preserve">Promote </w:t>
            </w:r>
            <w:r w:rsidR="00DF726C" w:rsidRPr="00046D11">
              <w:rPr>
                <w:rFonts w:ascii="Aptos Display" w:hAnsi="Aptos Display"/>
                <w:sz w:val="20"/>
                <w:szCs w:val="20"/>
              </w:rPr>
              <w:t>probity</w:t>
            </w:r>
          </w:p>
        </w:tc>
      </w:tr>
      <w:tr w:rsidR="0006588C" w:rsidRPr="00401D9E" w14:paraId="41DAE67F" w14:textId="77777777" w:rsidTr="00B840F8">
        <w:tc>
          <w:tcPr>
            <w:tcW w:w="2934" w:type="dxa"/>
          </w:tcPr>
          <w:p w14:paraId="37A78E1A" w14:textId="51E857BC" w:rsidR="0006588C" w:rsidRPr="00046D11" w:rsidRDefault="0006588C" w:rsidP="00B840F8">
            <w:pPr>
              <w:pStyle w:val="Default"/>
              <w:rPr>
                <w:rFonts w:ascii="Aptos Display" w:hAnsi="Aptos Display"/>
                <w:sz w:val="20"/>
                <w:szCs w:val="20"/>
              </w:rPr>
            </w:pPr>
            <w:commentRangeStart w:id="24"/>
            <w:commentRangeStart w:id="25"/>
            <w:r w:rsidRPr="00046D11">
              <w:rPr>
                <w:rFonts w:ascii="Aptos Display" w:hAnsi="Aptos Display"/>
                <w:sz w:val="20"/>
                <w:szCs w:val="20"/>
              </w:rPr>
              <w:t>Procurement</w:t>
            </w:r>
            <w:commentRangeEnd w:id="24"/>
            <w:r w:rsidR="00D24589" w:rsidRPr="00046D11">
              <w:rPr>
                <w:rStyle w:val="CommentReference"/>
                <w:rFonts w:ascii="Aptos Display" w:hAnsi="Aptos Display"/>
                <w:sz w:val="20"/>
                <w:szCs w:val="20"/>
              </w:rPr>
              <w:commentReference w:id="24"/>
            </w:r>
            <w:commentRangeEnd w:id="25"/>
            <w:r>
              <w:rPr>
                <w:rStyle w:val="CommentReference"/>
              </w:rPr>
              <w:commentReference w:id="25"/>
            </w:r>
          </w:p>
        </w:tc>
        <w:tc>
          <w:tcPr>
            <w:tcW w:w="6694" w:type="dxa"/>
          </w:tcPr>
          <w:p w14:paraId="320340D5" w14:textId="32EB0347" w:rsidR="0006588C" w:rsidRPr="00046D11" w:rsidRDefault="0006588C" w:rsidP="00B840F8">
            <w:pPr>
              <w:pStyle w:val="Default"/>
              <w:rPr>
                <w:rFonts w:ascii="Aptos Display" w:hAnsi="Aptos Display"/>
                <w:sz w:val="20"/>
                <w:szCs w:val="20"/>
              </w:rPr>
            </w:pPr>
            <w:r w:rsidRPr="00046D11">
              <w:rPr>
                <w:rFonts w:ascii="Aptos Display" w:hAnsi="Aptos Display"/>
                <w:sz w:val="20"/>
                <w:szCs w:val="20"/>
              </w:rPr>
              <w:t xml:space="preserve">Provide advice </w:t>
            </w:r>
            <w:r w:rsidR="00A66802" w:rsidRPr="00046D11">
              <w:rPr>
                <w:rFonts w:ascii="Aptos Display" w:hAnsi="Aptos Display"/>
                <w:sz w:val="20"/>
                <w:szCs w:val="20"/>
              </w:rPr>
              <w:t>on probity requirements</w:t>
            </w:r>
            <w:r w:rsidR="00A66802">
              <w:rPr>
                <w:rFonts w:ascii="Aptos Display" w:hAnsi="Aptos Display"/>
                <w:sz w:val="20"/>
                <w:szCs w:val="20"/>
              </w:rPr>
              <w:t xml:space="preserve"> </w:t>
            </w:r>
            <w:r w:rsidRPr="00046D11">
              <w:rPr>
                <w:rFonts w:ascii="Aptos Display" w:hAnsi="Aptos Display"/>
                <w:sz w:val="20"/>
                <w:szCs w:val="20"/>
              </w:rPr>
              <w:t xml:space="preserve">and </w:t>
            </w:r>
            <w:r w:rsidR="002F62B2">
              <w:rPr>
                <w:rFonts w:ascii="Aptos Display" w:hAnsi="Aptos Display"/>
                <w:sz w:val="20"/>
                <w:szCs w:val="20"/>
              </w:rPr>
              <w:t>act as probity advisor in procurement activities</w:t>
            </w:r>
          </w:p>
        </w:tc>
      </w:tr>
      <w:tr w:rsidR="004702D8" w:rsidRPr="00401D9E" w14:paraId="6E8CDE85" w14:textId="77777777" w:rsidTr="00B840F8">
        <w:tc>
          <w:tcPr>
            <w:tcW w:w="2934" w:type="dxa"/>
          </w:tcPr>
          <w:p w14:paraId="4F4E6504" w14:textId="77777777" w:rsidR="004702D8" w:rsidRPr="00046D11" w:rsidRDefault="004702D8" w:rsidP="00B840F8">
            <w:pPr>
              <w:pStyle w:val="Default"/>
              <w:rPr>
                <w:rFonts w:ascii="Aptos Display" w:hAnsi="Aptos Display"/>
                <w:sz w:val="20"/>
                <w:szCs w:val="20"/>
              </w:rPr>
            </w:pPr>
            <w:r w:rsidRPr="00046D11">
              <w:rPr>
                <w:rFonts w:ascii="Aptos Display" w:hAnsi="Aptos Display"/>
                <w:sz w:val="20"/>
                <w:szCs w:val="20"/>
              </w:rPr>
              <w:t>Staff</w:t>
            </w:r>
          </w:p>
        </w:tc>
        <w:tc>
          <w:tcPr>
            <w:tcW w:w="6694" w:type="dxa"/>
          </w:tcPr>
          <w:p w14:paraId="0D8626D8" w14:textId="5BE72A88" w:rsidR="004702D8" w:rsidRPr="00046D11" w:rsidRDefault="00DF726C" w:rsidP="00B840F8">
            <w:pPr>
              <w:pStyle w:val="Default"/>
              <w:rPr>
                <w:rFonts w:ascii="Aptos Display" w:hAnsi="Aptos Display"/>
                <w:sz w:val="20"/>
                <w:szCs w:val="20"/>
              </w:rPr>
            </w:pPr>
            <w:r w:rsidRPr="00046D11">
              <w:rPr>
                <w:rFonts w:ascii="Aptos Display" w:hAnsi="Aptos Display"/>
                <w:sz w:val="20"/>
                <w:szCs w:val="20"/>
              </w:rPr>
              <w:t>Adhere to the principals of this guide</w:t>
            </w:r>
          </w:p>
        </w:tc>
      </w:tr>
    </w:tbl>
    <w:p w14:paraId="54C9E0A8" w14:textId="6EC3B22F" w:rsidR="005D3664" w:rsidRPr="0019254E" w:rsidRDefault="007D1D70" w:rsidP="0019254E">
      <w:pPr>
        <w:pStyle w:val="Default"/>
        <w:widowControl w:val="0"/>
        <w:spacing w:before="120"/>
        <w:rPr>
          <w:rFonts w:asciiTheme="minorHAnsi" w:eastAsia="Corbel" w:hAnsiTheme="minorHAnsi" w:cs="Corbel"/>
          <w:b/>
          <w:color w:val="auto"/>
          <w:lang w:val="en-US"/>
        </w:rPr>
      </w:pPr>
      <w:r w:rsidRPr="0019254E">
        <w:rPr>
          <w:rFonts w:asciiTheme="minorHAnsi" w:eastAsia="Corbel" w:hAnsiTheme="minorHAnsi" w:cs="Corbel"/>
          <w:b/>
          <w:color w:val="auto"/>
          <w:lang w:val="en-US"/>
        </w:rPr>
        <w:t>References</w:t>
      </w:r>
    </w:p>
    <w:p w14:paraId="2882D407" w14:textId="77777777" w:rsidR="007D1D70" w:rsidRDefault="007D1D70" w:rsidP="001861C9">
      <w:pPr>
        <w:autoSpaceDE w:val="0"/>
        <w:autoSpaceDN w:val="0"/>
        <w:adjustRightInd w:val="0"/>
        <w:spacing w:after="0" w:line="240" w:lineRule="auto"/>
        <w:ind w:left="720" w:hanging="720"/>
        <w:jc w:val="both"/>
        <w:rPr>
          <w:rFonts w:eastAsia="Corbel" w:cs="Corbel"/>
          <w:lang w:val="en-US"/>
        </w:rPr>
      </w:pPr>
    </w:p>
    <w:p w14:paraId="0E9739A6" w14:textId="6B785B2A" w:rsidR="007D1D70" w:rsidRPr="002F21CA" w:rsidRDefault="00D053DC" w:rsidP="001861C9">
      <w:pPr>
        <w:autoSpaceDE w:val="0"/>
        <w:autoSpaceDN w:val="0"/>
        <w:adjustRightInd w:val="0"/>
        <w:spacing w:after="0" w:line="240" w:lineRule="auto"/>
        <w:ind w:left="720" w:hanging="720"/>
        <w:jc w:val="both"/>
        <w:rPr>
          <w:rFonts w:eastAsia="Corbel" w:cs="Corbel"/>
        </w:rPr>
      </w:pPr>
      <w:hyperlink r:id="rId16" w:history="1">
        <w:r>
          <w:rPr>
            <w:rStyle w:val="Hyperlink"/>
            <w:rFonts w:eastAsia="Corbel" w:cs="Corbel"/>
          </w:rPr>
          <w:t>Qld Govt Probity and Integrity in Procurement Guide</w:t>
        </w:r>
      </w:hyperlink>
      <w:r w:rsidR="00014DBC">
        <w:rPr>
          <w:rFonts w:eastAsia="Corbel" w:cs="Corbel"/>
          <w:lang w:val="en-US"/>
        </w:rPr>
        <w:t xml:space="preserve"> Queensland Government v3.2 July 2025</w:t>
      </w:r>
    </w:p>
    <w:p w14:paraId="378CC65F" w14:textId="77777777" w:rsidR="005568E2" w:rsidRPr="005568E2" w:rsidRDefault="005568E2" w:rsidP="005568E2">
      <w:pPr>
        <w:spacing w:after="0" w:line="240" w:lineRule="auto"/>
        <w:ind w:left="4111" w:hanging="4111"/>
      </w:pPr>
      <w:hyperlink r:id="rId17" w:history="1">
        <w:r w:rsidRPr="005568E2">
          <w:rPr>
            <w:rStyle w:val="Hyperlink"/>
          </w:rPr>
          <w:t>Evaluation Panel Probity Email Template .docx</w:t>
        </w:r>
      </w:hyperlink>
    </w:p>
    <w:p w14:paraId="5B07FF2B" w14:textId="7935FB5F" w:rsidR="007408FB" w:rsidRDefault="00537510" w:rsidP="00803FC3">
      <w:pPr>
        <w:spacing w:after="0" w:line="240" w:lineRule="auto"/>
        <w:ind w:left="4111" w:hanging="4111"/>
      </w:pPr>
      <w:hyperlink r:id="rId18" w:history="1">
        <w:r>
          <w:rPr>
            <w:rStyle w:val="Hyperlink"/>
          </w:rPr>
          <w:t>Conflict of Interest Policy</w:t>
        </w:r>
      </w:hyperlink>
      <w:r>
        <w:t xml:space="preserve"> </w:t>
      </w:r>
      <w:commentRangeStart w:id="26"/>
      <w:commentRangeEnd w:id="26"/>
      <w:r w:rsidR="00B92F10">
        <w:rPr>
          <w:rStyle w:val="CommentReference"/>
          <w:sz w:val="22"/>
          <w:szCs w:val="22"/>
        </w:rPr>
        <w:commentReference w:id="26"/>
      </w:r>
    </w:p>
    <w:p w14:paraId="4AE5BC5F" w14:textId="77777777" w:rsidR="00121854" w:rsidRPr="00121854" w:rsidRDefault="00121854" w:rsidP="00121854">
      <w:pPr>
        <w:spacing w:after="0" w:line="240" w:lineRule="auto"/>
        <w:ind w:left="4111" w:hanging="4111"/>
      </w:pPr>
      <w:hyperlink r:id="rId19" w:history="1">
        <w:r w:rsidRPr="00121854">
          <w:rPr>
            <w:rStyle w:val="Hyperlink"/>
          </w:rPr>
          <w:t>Procurement Evaluation Process Guide.docx</w:t>
        </w:r>
      </w:hyperlink>
    </w:p>
    <w:p w14:paraId="4E0826B5" w14:textId="77777777" w:rsidR="00121854" w:rsidRDefault="00121854" w:rsidP="00803FC3">
      <w:pPr>
        <w:spacing w:after="0" w:line="240" w:lineRule="auto"/>
        <w:ind w:left="4111" w:hanging="4111"/>
      </w:pPr>
    </w:p>
    <w:p w14:paraId="2C8BB3EC" w14:textId="77777777" w:rsidR="00891A39" w:rsidRDefault="00891A39" w:rsidP="00121854">
      <w:pPr>
        <w:spacing w:after="0" w:line="240" w:lineRule="auto"/>
        <w:rPr>
          <w:szCs w:val="20"/>
          <w:lang w:eastAsia="en-AU"/>
        </w:rPr>
      </w:pPr>
    </w:p>
    <w:p w14:paraId="5893B538" w14:textId="77777777" w:rsidR="004B44D8" w:rsidRPr="00CC0A3A" w:rsidRDefault="004B44D8" w:rsidP="004B44D8">
      <w:pPr>
        <w:pStyle w:val="Default"/>
        <w:rPr>
          <w:rFonts w:asciiTheme="minorHAnsi" w:hAnsiTheme="minorHAnsi"/>
          <w:sz w:val="22"/>
          <w:szCs w:val="22"/>
        </w:rPr>
      </w:pPr>
    </w:p>
    <w:p w14:paraId="359BFA04" w14:textId="77777777" w:rsidR="004B44D8" w:rsidRPr="00887804" w:rsidRDefault="004B44D8" w:rsidP="004B44D8">
      <w:pPr>
        <w:widowControl w:val="0"/>
        <w:autoSpaceDE w:val="0"/>
        <w:autoSpaceDN w:val="0"/>
        <w:adjustRightInd w:val="0"/>
        <w:spacing w:before="120" w:after="123"/>
        <w:rPr>
          <w:rFonts w:ascii="Arial" w:hAnsi="Arial" w:cs="Arial"/>
          <w:sz w:val="18"/>
          <w:szCs w:val="18"/>
        </w:rPr>
      </w:pPr>
      <w:r w:rsidRPr="00887804">
        <w:rPr>
          <w:rFonts w:ascii="Arial" w:hAnsi="Arial" w:cs="Arial"/>
          <w:b/>
          <w:bCs/>
          <w:sz w:val="18"/>
          <w:szCs w:val="18"/>
        </w:rPr>
        <w:t xml:space="preserve">DOCUMENT CONTROL </w:t>
      </w:r>
    </w:p>
    <w:tbl>
      <w:tblPr>
        <w:tblW w:w="9090" w:type="dxa"/>
        <w:tblLook w:val="04A0" w:firstRow="1" w:lastRow="0" w:firstColumn="1" w:lastColumn="0" w:noHBand="0" w:noVBand="1"/>
      </w:tblPr>
      <w:tblGrid>
        <w:gridCol w:w="3027"/>
        <w:gridCol w:w="3005"/>
        <w:gridCol w:w="3058"/>
      </w:tblGrid>
      <w:tr w:rsidR="004B44D8" w:rsidRPr="00887804" w14:paraId="46C20191" w14:textId="77777777" w:rsidTr="001B231C">
        <w:trPr>
          <w:trHeight w:val="635"/>
        </w:trPr>
        <w:tc>
          <w:tcPr>
            <w:tcW w:w="3027" w:type="dxa"/>
            <w:tcBorders>
              <w:top w:val="single" w:sz="4" w:space="0" w:color="C0C0C0"/>
              <w:left w:val="nil"/>
              <w:bottom w:val="single" w:sz="4" w:space="0" w:color="C0C0C0"/>
              <w:right w:val="single" w:sz="4" w:space="0" w:color="C0C0C0"/>
            </w:tcBorders>
          </w:tcPr>
          <w:p w14:paraId="3BD328AC" w14:textId="77777777" w:rsidR="004B44D8" w:rsidRPr="00887804" w:rsidRDefault="004B44D8" w:rsidP="001B231C">
            <w:pPr>
              <w:widowControl w:val="0"/>
              <w:autoSpaceDE w:val="0"/>
              <w:autoSpaceDN w:val="0"/>
              <w:adjustRightInd w:val="0"/>
              <w:rPr>
                <w:rFonts w:ascii="Arial" w:hAnsi="Arial" w:cs="Arial"/>
                <w:b/>
                <w:bCs/>
                <w:sz w:val="16"/>
                <w:szCs w:val="16"/>
              </w:rPr>
            </w:pPr>
            <w:r w:rsidRPr="00887804">
              <w:rPr>
                <w:rFonts w:ascii="Arial" w:hAnsi="Arial" w:cs="Arial"/>
                <w:b/>
                <w:bCs/>
                <w:sz w:val="16"/>
                <w:szCs w:val="16"/>
              </w:rPr>
              <w:t xml:space="preserve">Managed by: </w:t>
            </w:r>
          </w:p>
          <w:p w14:paraId="2ECC1152" w14:textId="7C296B95" w:rsidR="004B44D8" w:rsidRPr="00887804" w:rsidRDefault="00306DD5" w:rsidP="006115A6">
            <w:pPr>
              <w:widowControl w:val="0"/>
              <w:autoSpaceDE w:val="0"/>
              <w:autoSpaceDN w:val="0"/>
              <w:adjustRightInd w:val="0"/>
              <w:rPr>
                <w:rFonts w:ascii="Arial" w:hAnsi="Arial" w:cs="Arial"/>
                <w:sz w:val="16"/>
                <w:szCs w:val="16"/>
              </w:rPr>
            </w:pPr>
            <w:r>
              <w:rPr>
                <w:rFonts w:ascii="Arial" w:hAnsi="Arial" w:cs="Arial"/>
                <w:sz w:val="16"/>
                <w:szCs w:val="16"/>
              </w:rPr>
              <w:t>Procurement Manager</w:t>
            </w:r>
          </w:p>
        </w:tc>
        <w:tc>
          <w:tcPr>
            <w:tcW w:w="3005" w:type="dxa"/>
            <w:tcBorders>
              <w:top w:val="single" w:sz="4" w:space="0" w:color="C0C0C0"/>
              <w:left w:val="single" w:sz="4" w:space="0" w:color="C0C0C0"/>
              <w:bottom w:val="single" w:sz="4" w:space="0" w:color="C0C0C0"/>
              <w:right w:val="single" w:sz="4" w:space="0" w:color="C0C0C0"/>
            </w:tcBorders>
          </w:tcPr>
          <w:p w14:paraId="65C15186" w14:textId="77777777" w:rsidR="004B44D8" w:rsidRPr="00887804" w:rsidRDefault="004B44D8" w:rsidP="001B231C">
            <w:pPr>
              <w:widowControl w:val="0"/>
              <w:autoSpaceDE w:val="0"/>
              <w:autoSpaceDN w:val="0"/>
              <w:adjustRightInd w:val="0"/>
              <w:rPr>
                <w:rFonts w:ascii="Arial" w:hAnsi="Arial" w:cs="Arial"/>
                <w:b/>
                <w:bCs/>
                <w:sz w:val="16"/>
                <w:szCs w:val="16"/>
              </w:rPr>
            </w:pPr>
            <w:r w:rsidRPr="00887804">
              <w:rPr>
                <w:rFonts w:ascii="Arial" w:hAnsi="Arial" w:cs="Arial"/>
                <w:b/>
                <w:bCs/>
                <w:sz w:val="16"/>
                <w:szCs w:val="16"/>
              </w:rPr>
              <w:t>Approved by:</w:t>
            </w:r>
          </w:p>
          <w:p w14:paraId="4461809C" w14:textId="791B4B57" w:rsidR="004B44D8" w:rsidRPr="00887804" w:rsidRDefault="00306DD5" w:rsidP="001B231C">
            <w:pPr>
              <w:widowControl w:val="0"/>
              <w:autoSpaceDE w:val="0"/>
              <w:autoSpaceDN w:val="0"/>
              <w:adjustRightInd w:val="0"/>
              <w:rPr>
                <w:rFonts w:ascii="Arial" w:hAnsi="Arial" w:cs="Arial"/>
                <w:sz w:val="16"/>
                <w:szCs w:val="16"/>
              </w:rPr>
            </w:pPr>
            <w:r>
              <w:rPr>
                <w:rFonts w:ascii="Arial" w:hAnsi="Arial" w:cs="Arial"/>
                <w:sz w:val="16"/>
                <w:szCs w:val="16"/>
              </w:rPr>
              <w:t>Executive Director Commissioning</w:t>
            </w:r>
          </w:p>
        </w:tc>
        <w:tc>
          <w:tcPr>
            <w:tcW w:w="3058" w:type="dxa"/>
            <w:tcBorders>
              <w:top w:val="single" w:sz="4" w:space="0" w:color="C0C0C0"/>
              <w:left w:val="single" w:sz="4" w:space="0" w:color="C0C0C0"/>
              <w:bottom w:val="single" w:sz="4" w:space="0" w:color="C0C0C0"/>
              <w:right w:val="nil"/>
            </w:tcBorders>
          </w:tcPr>
          <w:p w14:paraId="6B8FAEF8" w14:textId="77777777" w:rsidR="004B44D8" w:rsidRPr="00887804" w:rsidRDefault="004B44D8" w:rsidP="001B231C">
            <w:pPr>
              <w:widowControl w:val="0"/>
              <w:autoSpaceDE w:val="0"/>
              <w:autoSpaceDN w:val="0"/>
              <w:adjustRightInd w:val="0"/>
              <w:rPr>
                <w:rFonts w:ascii="Arial" w:hAnsi="Arial" w:cs="Arial"/>
                <w:b/>
                <w:bCs/>
                <w:sz w:val="16"/>
                <w:szCs w:val="16"/>
              </w:rPr>
            </w:pPr>
            <w:r w:rsidRPr="00887804">
              <w:rPr>
                <w:rFonts w:ascii="Arial" w:hAnsi="Arial" w:cs="Arial"/>
                <w:b/>
                <w:bCs/>
                <w:sz w:val="16"/>
                <w:szCs w:val="16"/>
              </w:rPr>
              <w:t xml:space="preserve">Version: </w:t>
            </w:r>
          </w:p>
          <w:p w14:paraId="0238592F" w14:textId="0E801FC7" w:rsidR="004B44D8" w:rsidRPr="00887804" w:rsidRDefault="001C627B" w:rsidP="001B231C">
            <w:pPr>
              <w:widowControl w:val="0"/>
              <w:autoSpaceDE w:val="0"/>
              <w:autoSpaceDN w:val="0"/>
              <w:adjustRightInd w:val="0"/>
              <w:rPr>
                <w:rFonts w:ascii="Arial" w:hAnsi="Arial" w:cs="Arial"/>
                <w:sz w:val="16"/>
                <w:szCs w:val="16"/>
              </w:rPr>
            </w:pPr>
            <w:r>
              <w:rPr>
                <w:rFonts w:ascii="Arial" w:hAnsi="Arial" w:cs="Arial"/>
                <w:sz w:val="16"/>
                <w:szCs w:val="16"/>
              </w:rPr>
              <w:t>V</w:t>
            </w:r>
            <w:r w:rsidR="002D190D">
              <w:rPr>
                <w:rFonts w:ascii="Arial" w:hAnsi="Arial" w:cs="Arial"/>
                <w:sz w:val="16"/>
                <w:szCs w:val="16"/>
              </w:rPr>
              <w:t>1</w:t>
            </w:r>
          </w:p>
        </w:tc>
      </w:tr>
      <w:tr w:rsidR="004B44D8" w:rsidRPr="00887804" w14:paraId="37E41D5C" w14:textId="77777777" w:rsidTr="001B231C">
        <w:trPr>
          <w:trHeight w:val="625"/>
        </w:trPr>
        <w:tc>
          <w:tcPr>
            <w:tcW w:w="3027" w:type="dxa"/>
            <w:tcBorders>
              <w:top w:val="single" w:sz="4" w:space="0" w:color="C0C0C0"/>
              <w:left w:val="nil"/>
              <w:bottom w:val="single" w:sz="4" w:space="0" w:color="C0C0C0"/>
              <w:right w:val="single" w:sz="4" w:space="0" w:color="C0C0C0"/>
            </w:tcBorders>
          </w:tcPr>
          <w:p w14:paraId="1BC2F8F0" w14:textId="77777777" w:rsidR="004B44D8" w:rsidRPr="00887804" w:rsidRDefault="004B44D8" w:rsidP="001B231C">
            <w:pPr>
              <w:widowControl w:val="0"/>
              <w:autoSpaceDE w:val="0"/>
              <w:autoSpaceDN w:val="0"/>
              <w:adjustRightInd w:val="0"/>
              <w:rPr>
                <w:rFonts w:ascii="Arial" w:hAnsi="Arial" w:cs="Arial"/>
                <w:b/>
                <w:bCs/>
                <w:sz w:val="16"/>
                <w:szCs w:val="16"/>
              </w:rPr>
            </w:pPr>
            <w:r w:rsidRPr="00887804">
              <w:rPr>
                <w:rFonts w:ascii="Arial" w:hAnsi="Arial" w:cs="Arial"/>
                <w:b/>
                <w:bCs/>
                <w:sz w:val="16"/>
                <w:szCs w:val="16"/>
              </w:rPr>
              <w:t>Next review date:</w:t>
            </w:r>
          </w:p>
          <w:p w14:paraId="21D4D0D4" w14:textId="644FDCFF" w:rsidR="004B44D8" w:rsidRPr="00887804" w:rsidRDefault="004B44D8" w:rsidP="001B231C">
            <w:pPr>
              <w:widowControl w:val="0"/>
              <w:autoSpaceDE w:val="0"/>
              <w:autoSpaceDN w:val="0"/>
              <w:adjustRightInd w:val="0"/>
              <w:rPr>
                <w:rFonts w:ascii="Arial" w:hAnsi="Arial" w:cs="Arial"/>
                <w:sz w:val="16"/>
                <w:szCs w:val="16"/>
              </w:rPr>
            </w:pPr>
          </w:p>
        </w:tc>
        <w:tc>
          <w:tcPr>
            <w:tcW w:w="3005" w:type="dxa"/>
            <w:tcBorders>
              <w:top w:val="single" w:sz="4" w:space="0" w:color="C0C0C0"/>
              <w:left w:val="single" w:sz="4" w:space="0" w:color="C0C0C0"/>
              <w:bottom w:val="single" w:sz="4" w:space="0" w:color="C0C0C0"/>
              <w:right w:val="single" w:sz="4" w:space="0" w:color="C0C0C0"/>
            </w:tcBorders>
          </w:tcPr>
          <w:p w14:paraId="7C5C0CFC" w14:textId="77777777" w:rsidR="004B44D8" w:rsidRPr="00887804" w:rsidRDefault="004B44D8" w:rsidP="001B231C">
            <w:pPr>
              <w:widowControl w:val="0"/>
              <w:autoSpaceDE w:val="0"/>
              <w:autoSpaceDN w:val="0"/>
              <w:adjustRightInd w:val="0"/>
              <w:rPr>
                <w:rFonts w:ascii="Arial" w:hAnsi="Arial" w:cs="Arial"/>
                <w:b/>
                <w:bCs/>
                <w:sz w:val="16"/>
                <w:szCs w:val="16"/>
              </w:rPr>
            </w:pPr>
            <w:r w:rsidRPr="00887804">
              <w:rPr>
                <w:rFonts w:ascii="Arial" w:hAnsi="Arial" w:cs="Arial"/>
                <w:b/>
                <w:bCs/>
                <w:sz w:val="16"/>
                <w:szCs w:val="16"/>
              </w:rPr>
              <w:t>Date approved:</w:t>
            </w:r>
          </w:p>
          <w:p w14:paraId="726B13AF" w14:textId="66DE1C51" w:rsidR="004B44D8" w:rsidRPr="00887804" w:rsidRDefault="004B44D8" w:rsidP="001B231C">
            <w:pPr>
              <w:widowControl w:val="0"/>
              <w:autoSpaceDE w:val="0"/>
              <w:autoSpaceDN w:val="0"/>
              <w:adjustRightInd w:val="0"/>
              <w:rPr>
                <w:rFonts w:ascii="Arial" w:hAnsi="Arial" w:cs="Arial"/>
                <w:sz w:val="16"/>
                <w:szCs w:val="16"/>
              </w:rPr>
            </w:pPr>
          </w:p>
        </w:tc>
        <w:tc>
          <w:tcPr>
            <w:tcW w:w="3058" w:type="dxa"/>
            <w:tcBorders>
              <w:top w:val="single" w:sz="4" w:space="0" w:color="C0C0C0"/>
              <w:left w:val="single" w:sz="4" w:space="0" w:color="C0C0C0"/>
              <w:bottom w:val="single" w:sz="4" w:space="0" w:color="C0C0C0"/>
              <w:right w:val="nil"/>
            </w:tcBorders>
          </w:tcPr>
          <w:p w14:paraId="10DF0F65" w14:textId="77777777" w:rsidR="004B44D8" w:rsidRPr="00887804" w:rsidRDefault="004B44D8" w:rsidP="001B231C">
            <w:pPr>
              <w:widowControl w:val="0"/>
              <w:autoSpaceDE w:val="0"/>
              <w:autoSpaceDN w:val="0"/>
              <w:adjustRightInd w:val="0"/>
              <w:rPr>
                <w:rFonts w:ascii="Arial" w:hAnsi="Arial" w:cs="Arial"/>
                <w:b/>
                <w:bCs/>
                <w:sz w:val="16"/>
                <w:szCs w:val="16"/>
              </w:rPr>
            </w:pPr>
            <w:r w:rsidRPr="00887804">
              <w:rPr>
                <w:rFonts w:ascii="Arial" w:hAnsi="Arial" w:cs="Arial"/>
                <w:b/>
                <w:bCs/>
                <w:sz w:val="16"/>
                <w:szCs w:val="16"/>
              </w:rPr>
              <w:t>Status:</w:t>
            </w:r>
          </w:p>
          <w:p w14:paraId="585E620B" w14:textId="54117235" w:rsidR="004B44D8" w:rsidRPr="00887804" w:rsidRDefault="00306DD5" w:rsidP="001B231C">
            <w:pPr>
              <w:widowControl w:val="0"/>
              <w:autoSpaceDE w:val="0"/>
              <w:autoSpaceDN w:val="0"/>
              <w:adjustRightInd w:val="0"/>
              <w:rPr>
                <w:rFonts w:ascii="Arial" w:hAnsi="Arial" w:cs="Arial"/>
                <w:sz w:val="16"/>
                <w:szCs w:val="16"/>
              </w:rPr>
            </w:pPr>
            <w:r>
              <w:rPr>
                <w:rFonts w:ascii="Arial" w:hAnsi="Arial" w:cs="Arial"/>
                <w:sz w:val="16"/>
                <w:szCs w:val="16"/>
              </w:rPr>
              <w:t>Draft</w:t>
            </w:r>
          </w:p>
        </w:tc>
      </w:tr>
    </w:tbl>
    <w:p w14:paraId="45471256" w14:textId="77777777" w:rsidR="004B44D8" w:rsidRPr="00887804" w:rsidRDefault="004B44D8" w:rsidP="004B44D8">
      <w:pPr>
        <w:widowControl w:val="0"/>
        <w:autoSpaceDE w:val="0"/>
        <w:autoSpaceDN w:val="0"/>
        <w:adjustRightInd w:val="0"/>
        <w:spacing w:after="200"/>
        <w:jc w:val="center"/>
        <w:rPr>
          <w:rFonts w:ascii="Arial" w:hAnsi="Arial" w:cs="Arial"/>
          <w:b/>
          <w:bCs/>
          <w:sz w:val="18"/>
          <w:szCs w:val="18"/>
        </w:rPr>
      </w:pPr>
    </w:p>
    <w:p w14:paraId="529744C2" w14:textId="77777777" w:rsidR="004B44D8" w:rsidRPr="00887804" w:rsidRDefault="004B44D8" w:rsidP="004B44D8">
      <w:pPr>
        <w:widowControl w:val="0"/>
        <w:autoSpaceDE w:val="0"/>
        <w:autoSpaceDN w:val="0"/>
        <w:adjustRightInd w:val="0"/>
        <w:spacing w:after="200"/>
        <w:jc w:val="center"/>
        <w:rPr>
          <w:rFonts w:ascii="Arial" w:hAnsi="Arial" w:cs="Arial"/>
          <w:sz w:val="18"/>
          <w:szCs w:val="18"/>
        </w:rPr>
      </w:pPr>
      <w:r w:rsidRPr="00887804">
        <w:rPr>
          <w:rFonts w:ascii="Arial" w:hAnsi="Arial" w:cs="Arial"/>
          <w:b/>
          <w:bCs/>
          <w:sz w:val="18"/>
          <w:szCs w:val="18"/>
        </w:rPr>
        <w:t>REVISION RECORD</w:t>
      </w:r>
    </w:p>
    <w:tbl>
      <w:tblPr>
        <w:tblW w:w="9090" w:type="dxa"/>
        <w:tblLook w:val="04A0" w:firstRow="1" w:lastRow="0" w:firstColumn="1" w:lastColumn="0" w:noHBand="0" w:noVBand="1"/>
      </w:tblPr>
      <w:tblGrid>
        <w:gridCol w:w="1155"/>
        <w:gridCol w:w="1135"/>
        <w:gridCol w:w="6800"/>
      </w:tblGrid>
      <w:tr w:rsidR="004B44D8" w:rsidRPr="00887804" w14:paraId="0314B57C" w14:textId="77777777" w:rsidTr="001B231C">
        <w:trPr>
          <w:trHeight w:val="328"/>
        </w:trPr>
        <w:tc>
          <w:tcPr>
            <w:tcW w:w="1155" w:type="dxa"/>
            <w:tcBorders>
              <w:top w:val="single" w:sz="4" w:space="0" w:color="C0C0C0"/>
              <w:left w:val="nil"/>
              <w:bottom w:val="single" w:sz="4" w:space="0" w:color="C0C0C0"/>
              <w:right w:val="single" w:sz="4" w:space="0" w:color="C0C0C0"/>
            </w:tcBorders>
            <w:vAlign w:val="center"/>
            <w:hideMark/>
          </w:tcPr>
          <w:p w14:paraId="1035A650" w14:textId="77777777" w:rsidR="004B44D8" w:rsidRPr="00887804" w:rsidRDefault="004B44D8" w:rsidP="001B231C">
            <w:pPr>
              <w:widowControl w:val="0"/>
              <w:autoSpaceDE w:val="0"/>
              <w:autoSpaceDN w:val="0"/>
              <w:adjustRightInd w:val="0"/>
              <w:rPr>
                <w:rFonts w:ascii="Arial" w:hAnsi="Arial" w:cs="Arial"/>
                <w:sz w:val="16"/>
                <w:szCs w:val="16"/>
              </w:rPr>
            </w:pPr>
            <w:r w:rsidRPr="00887804">
              <w:rPr>
                <w:rFonts w:ascii="Arial" w:hAnsi="Arial" w:cs="Arial"/>
                <w:b/>
                <w:bCs/>
                <w:sz w:val="16"/>
                <w:szCs w:val="16"/>
              </w:rPr>
              <w:t xml:space="preserve">Date </w:t>
            </w:r>
          </w:p>
        </w:tc>
        <w:tc>
          <w:tcPr>
            <w:tcW w:w="1135" w:type="dxa"/>
            <w:tcBorders>
              <w:top w:val="single" w:sz="4" w:space="0" w:color="C0C0C0"/>
              <w:left w:val="single" w:sz="4" w:space="0" w:color="C0C0C0"/>
              <w:bottom w:val="single" w:sz="4" w:space="0" w:color="C0C0C0"/>
              <w:right w:val="single" w:sz="4" w:space="0" w:color="C0C0C0"/>
            </w:tcBorders>
            <w:vAlign w:val="center"/>
            <w:hideMark/>
          </w:tcPr>
          <w:p w14:paraId="753A0AC0" w14:textId="77777777" w:rsidR="004B44D8" w:rsidRPr="00887804" w:rsidRDefault="004B44D8" w:rsidP="001B231C">
            <w:pPr>
              <w:widowControl w:val="0"/>
              <w:autoSpaceDE w:val="0"/>
              <w:autoSpaceDN w:val="0"/>
              <w:adjustRightInd w:val="0"/>
              <w:rPr>
                <w:rFonts w:ascii="Arial" w:hAnsi="Arial" w:cs="Arial"/>
                <w:sz w:val="16"/>
                <w:szCs w:val="16"/>
              </w:rPr>
            </w:pPr>
            <w:r w:rsidRPr="00887804">
              <w:rPr>
                <w:rFonts w:ascii="Arial" w:hAnsi="Arial" w:cs="Arial"/>
                <w:b/>
                <w:bCs/>
                <w:sz w:val="16"/>
                <w:szCs w:val="16"/>
              </w:rPr>
              <w:t xml:space="preserve">Version </w:t>
            </w:r>
          </w:p>
        </w:tc>
        <w:tc>
          <w:tcPr>
            <w:tcW w:w="6800" w:type="dxa"/>
            <w:tcBorders>
              <w:top w:val="single" w:sz="4" w:space="0" w:color="C0C0C0"/>
              <w:left w:val="single" w:sz="4" w:space="0" w:color="C0C0C0"/>
              <w:bottom w:val="single" w:sz="4" w:space="0" w:color="C0C0C0"/>
              <w:right w:val="nil"/>
            </w:tcBorders>
            <w:vAlign w:val="center"/>
            <w:hideMark/>
          </w:tcPr>
          <w:p w14:paraId="4EBB50B9" w14:textId="77777777" w:rsidR="004B44D8" w:rsidRPr="00887804" w:rsidRDefault="004B44D8" w:rsidP="001B231C">
            <w:pPr>
              <w:widowControl w:val="0"/>
              <w:autoSpaceDE w:val="0"/>
              <w:autoSpaceDN w:val="0"/>
              <w:adjustRightInd w:val="0"/>
              <w:rPr>
                <w:rFonts w:ascii="Arial" w:hAnsi="Arial" w:cs="Arial"/>
                <w:sz w:val="16"/>
                <w:szCs w:val="16"/>
              </w:rPr>
            </w:pPr>
            <w:r w:rsidRPr="00887804">
              <w:rPr>
                <w:rFonts w:ascii="Arial" w:hAnsi="Arial" w:cs="Arial"/>
                <w:b/>
                <w:bCs/>
                <w:sz w:val="16"/>
                <w:szCs w:val="16"/>
              </w:rPr>
              <w:t xml:space="preserve">Revision description </w:t>
            </w:r>
          </w:p>
        </w:tc>
      </w:tr>
      <w:tr w:rsidR="004B44D8" w:rsidRPr="00887804" w14:paraId="5B48AC90" w14:textId="77777777" w:rsidTr="001B231C">
        <w:trPr>
          <w:trHeight w:val="453"/>
        </w:trPr>
        <w:tc>
          <w:tcPr>
            <w:tcW w:w="1155" w:type="dxa"/>
            <w:tcBorders>
              <w:top w:val="single" w:sz="4" w:space="0" w:color="C0C0C0"/>
              <w:left w:val="nil"/>
              <w:bottom w:val="single" w:sz="4" w:space="0" w:color="C0C0C0"/>
              <w:right w:val="single" w:sz="4" w:space="0" w:color="C0C0C0"/>
            </w:tcBorders>
          </w:tcPr>
          <w:p w14:paraId="4C82F537" w14:textId="009B9E05" w:rsidR="004B44D8" w:rsidRPr="00887804" w:rsidRDefault="00306DD5" w:rsidP="001B231C">
            <w:pPr>
              <w:widowControl w:val="0"/>
              <w:autoSpaceDE w:val="0"/>
              <w:autoSpaceDN w:val="0"/>
              <w:adjustRightInd w:val="0"/>
              <w:rPr>
                <w:rFonts w:ascii="Arial" w:hAnsi="Arial" w:cs="Arial"/>
                <w:sz w:val="16"/>
                <w:szCs w:val="16"/>
              </w:rPr>
            </w:pPr>
            <w:r>
              <w:rPr>
                <w:rFonts w:ascii="Arial" w:hAnsi="Arial" w:cs="Arial"/>
                <w:sz w:val="16"/>
                <w:szCs w:val="16"/>
              </w:rPr>
              <w:t>19</w:t>
            </w:r>
            <w:r w:rsidR="005B1BC0">
              <w:rPr>
                <w:rFonts w:ascii="Arial" w:hAnsi="Arial" w:cs="Arial"/>
                <w:sz w:val="16"/>
                <w:szCs w:val="16"/>
              </w:rPr>
              <w:t>/08/2025</w:t>
            </w:r>
          </w:p>
        </w:tc>
        <w:tc>
          <w:tcPr>
            <w:tcW w:w="1135" w:type="dxa"/>
            <w:tcBorders>
              <w:top w:val="single" w:sz="4" w:space="0" w:color="C0C0C0"/>
              <w:left w:val="single" w:sz="4" w:space="0" w:color="C0C0C0"/>
              <w:bottom w:val="single" w:sz="4" w:space="0" w:color="C0C0C0"/>
              <w:right w:val="single" w:sz="4" w:space="0" w:color="C0C0C0"/>
            </w:tcBorders>
          </w:tcPr>
          <w:p w14:paraId="57062E66" w14:textId="2E54810C" w:rsidR="004B44D8" w:rsidRPr="00887804" w:rsidRDefault="004B44D8" w:rsidP="001B231C">
            <w:pPr>
              <w:widowControl w:val="0"/>
              <w:autoSpaceDE w:val="0"/>
              <w:autoSpaceDN w:val="0"/>
              <w:adjustRightInd w:val="0"/>
              <w:rPr>
                <w:rFonts w:ascii="Arial" w:hAnsi="Arial" w:cs="Arial"/>
                <w:sz w:val="16"/>
                <w:szCs w:val="16"/>
              </w:rPr>
            </w:pPr>
          </w:p>
        </w:tc>
        <w:tc>
          <w:tcPr>
            <w:tcW w:w="6800" w:type="dxa"/>
            <w:tcBorders>
              <w:top w:val="single" w:sz="4" w:space="0" w:color="C0C0C0"/>
              <w:left w:val="single" w:sz="4" w:space="0" w:color="C0C0C0"/>
              <w:bottom w:val="single" w:sz="4" w:space="0" w:color="C0C0C0"/>
              <w:right w:val="nil"/>
            </w:tcBorders>
          </w:tcPr>
          <w:p w14:paraId="232EF3B8" w14:textId="792DF543" w:rsidR="004B44D8" w:rsidRPr="00887804" w:rsidRDefault="005B1BC0" w:rsidP="001B231C">
            <w:pPr>
              <w:widowControl w:val="0"/>
              <w:autoSpaceDE w:val="0"/>
              <w:autoSpaceDN w:val="0"/>
              <w:adjustRightInd w:val="0"/>
              <w:rPr>
                <w:rFonts w:ascii="Arial" w:hAnsi="Arial" w:cs="Arial"/>
                <w:sz w:val="16"/>
                <w:szCs w:val="16"/>
              </w:rPr>
            </w:pPr>
            <w:r>
              <w:rPr>
                <w:rFonts w:ascii="Arial" w:hAnsi="Arial" w:cs="Arial"/>
                <w:sz w:val="16"/>
                <w:szCs w:val="16"/>
              </w:rPr>
              <w:t>Initial draft</w:t>
            </w:r>
          </w:p>
        </w:tc>
      </w:tr>
      <w:tr w:rsidR="004B44D8" w:rsidRPr="00887804" w14:paraId="26AA7D84" w14:textId="77777777" w:rsidTr="001B231C">
        <w:trPr>
          <w:trHeight w:val="453"/>
        </w:trPr>
        <w:tc>
          <w:tcPr>
            <w:tcW w:w="1155" w:type="dxa"/>
            <w:tcBorders>
              <w:top w:val="single" w:sz="4" w:space="0" w:color="C0C0C0"/>
              <w:left w:val="nil"/>
              <w:bottom w:val="single" w:sz="4" w:space="0" w:color="C0C0C0"/>
              <w:right w:val="single" w:sz="4" w:space="0" w:color="C0C0C0"/>
            </w:tcBorders>
          </w:tcPr>
          <w:p w14:paraId="0E10FE89" w14:textId="7D53F974" w:rsidR="004B44D8" w:rsidRPr="00887804" w:rsidRDefault="004B44D8" w:rsidP="001B231C">
            <w:pPr>
              <w:widowControl w:val="0"/>
              <w:autoSpaceDE w:val="0"/>
              <w:autoSpaceDN w:val="0"/>
              <w:adjustRightInd w:val="0"/>
              <w:rPr>
                <w:rFonts w:ascii="Arial" w:hAnsi="Arial" w:cs="Arial"/>
                <w:sz w:val="16"/>
                <w:szCs w:val="16"/>
              </w:rPr>
            </w:pPr>
          </w:p>
        </w:tc>
        <w:tc>
          <w:tcPr>
            <w:tcW w:w="1135" w:type="dxa"/>
            <w:tcBorders>
              <w:top w:val="single" w:sz="4" w:space="0" w:color="C0C0C0"/>
              <w:left w:val="single" w:sz="4" w:space="0" w:color="C0C0C0"/>
              <w:bottom w:val="single" w:sz="4" w:space="0" w:color="C0C0C0"/>
              <w:right w:val="single" w:sz="4" w:space="0" w:color="C0C0C0"/>
            </w:tcBorders>
          </w:tcPr>
          <w:p w14:paraId="3D0188AA" w14:textId="19C38863" w:rsidR="004B44D8" w:rsidRPr="00887804" w:rsidRDefault="004B44D8" w:rsidP="001B231C">
            <w:pPr>
              <w:widowControl w:val="0"/>
              <w:autoSpaceDE w:val="0"/>
              <w:autoSpaceDN w:val="0"/>
              <w:adjustRightInd w:val="0"/>
              <w:rPr>
                <w:rFonts w:ascii="Arial" w:hAnsi="Arial" w:cs="Arial"/>
                <w:sz w:val="16"/>
                <w:szCs w:val="16"/>
              </w:rPr>
            </w:pPr>
          </w:p>
        </w:tc>
        <w:tc>
          <w:tcPr>
            <w:tcW w:w="6800" w:type="dxa"/>
            <w:tcBorders>
              <w:top w:val="single" w:sz="4" w:space="0" w:color="C0C0C0"/>
              <w:left w:val="single" w:sz="4" w:space="0" w:color="C0C0C0"/>
              <w:bottom w:val="single" w:sz="4" w:space="0" w:color="C0C0C0"/>
              <w:right w:val="nil"/>
            </w:tcBorders>
          </w:tcPr>
          <w:p w14:paraId="7EE4B2C0" w14:textId="1E1153AB" w:rsidR="004B44D8" w:rsidRPr="00887804" w:rsidRDefault="004B44D8" w:rsidP="001B231C">
            <w:pPr>
              <w:widowControl w:val="0"/>
              <w:autoSpaceDE w:val="0"/>
              <w:autoSpaceDN w:val="0"/>
              <w:adjustRightInd w:val="0"/>
              <w:rPr>
                <w:rFonts w:ascii="Arial" w:hAnsi="Arial" w:cs="Arial"/>
                <w:sz w:val="16"/>
                <w:szCs w:val="16"/>
              </w:rPr>
            </w:pPr>
          </w:p>
        </w:tc>
      </w:tr>
      <w:tr w:rsidR="004B44D8" w:rsidRPr="00887804" w14:paraId="4CC2E66E" w14:textId="77777777" w:rsidTr="001B231C">
        <w:trPr>
          <w:trHeight w:val="453"/>
        </w:trPr>
        <w:tc>
          <w:tcPr>
            <w:tcW w:w="1155" w:type="dxa"/>
            <w:tcBorders>
              <w:top w:val="single" w:sz="4" w:space="0" w:color="C0C0C0"/>
              <w:left w:val="nil"/>
              <w:bottom w:val="single" w:sz="4" w:space="0" w:color="C0C0C0"/>
              <w:right w:val="single" w:sz="4" w:space="0" w:color="C0C0C0"/>
            </w:tcBorders>
          </w:tcPr>
          <w:p w14:paraId="759DFDE7" w14:textId="77777777" w:rsidR="004B44D8" w:rsidRPr="00887804" w:rsidRDefault="004B44D8" w:rsidP="001B231C">
            <w:pPr>
              <w:widowControl w:val="0"/>
              <w:autoSpaceDE w:val="0"/>
              <w:autoSpaceDN w:val="0"/>
              <w:adjustRightInd w:val="0"/>
              <w:rPr>
                <w:rFonts w:ascii="Arial" w:hAnsi="Arial" w:cs="Arial"/>
                <w:sz w:val="16"/>
                <w:szCs w:val="16"/>
              </w:rPr>
            </w:pPr>
          </w:p>
        </w:tc>
        <w:tc>
          <w:tcPr>
            <w:tcW w:w="1135" w:type="dxa"/>
            <w:tcBorders>
              <w:top w:val="single" w:sz="4" w:space="0" w:color="C0C0C0"/>
              <w:left w:val="single" w:sz="4" w:space="0" w:color="C0C0C0"/>
              <w:bottom w:val="single" w:sz="4" w:space="0" w:color="C0C0C0"/>
              <w:right w:val="single" w:sz="4" w:space="0" w:color="C0C0C0"/>
            </w:tcBorders>
          </w:tcPr>
          <w:p w14:paraId="492275A9" w14:textId="77777777" w:rsidR="004B44D8" w:rsidRPr="00887804" w:rsidRDefault="004B44D8" w:rsidP="001B231C">
            <w:pPr>
              <w:widowControl w:val="0"/>
              <w:autoSpaceDE w:val="0"/>
              <w:autoSpaceDN w:val="0"/>
              <w:adjustRightInd w:val="0"/>
              <w:rPr>
                <w:rFonts w:ascii="Arial" w:hAnsi="Arial" w:cs="Arial"/>
                <w:sz w:val="16"/>
                <w:szCs w:val="16"/>
              </w:rPr>
            </w:pPr>
          </w:p>
        </w:tc>
        <w:tc>
          <w:tcPr>
            <w:tcW w:w="6800" w:type="dxa"/>
            <w:tcBorders>
              <w:top w:val="single" w:sz="4" w:space="0" w:color="C0C0C0"/>
              <w:left w:val="single" w:sz="4" w:space="0" w:color="C0C0C0"/>
              <w:bottom w:val="single" w:sz="4" w:space="0" w:color="C0C0C0"/>
              <w:right w:val="nil"/>
            </w:tcBorders>
          </w:tcPr>
          <w:p w14:paraId="4A08C037" w14:textId="77777777" w:rsidR="004B44D8" w:rsidRPr="00887804" w:rsidRDefault="004B44D8" w:rsidP="001B231C">
            <w:pPr>
              <w:widowControl w:val="0"/>
              <w:autoSpaceDE w:val="0"/>
              <w:autoSpaceDN w:val="0"/>
              <w:adjustRightInd w:val="0"/>
              <w:rPr>
                <w:rFonts w:ascii="Arial" w:hAnsi="Arial" w:cs="Arial"/>
                <w:sz w:val="16"/>
                <w:szCs w:val="16"/>
              </w:rPr>
            </w:pPr>
          </w:p>
        </w:tc>
      </w:tr>
    </w:tbl>
    <w:p w14:paraId="6C0EEBBD" w14:textId="77777777" w:rsidR="004B44D8" w:rsidRPr="00CB22F4" w:rsidRDefault="004B44D8" w:rsidP="004B44D8">
      <w:pPr>
        <w:pStyle w:val="CM37"/>
        <w:spacing w:before="120"/>
        <w:rPr>
          <w:rFonts w:asciiTheme="minorHAnsi" w:hAnsiTheme="minorHAnsi"/>
          <w:b/>
          <w:bCs/>
          <w:szCs w:val="28"/>
        </w:rPr>
      </w:pPr>
    </w:p>
    <w:p w14:paraId="243168C3" w14:textId="6D184537" w:rsidR="00C3698D" w:rsidRDefault="00C3698D">
      <w:pPr>
        <w:rPr>
          <w:rFonts w:ascii="Corbel" w:eastAsia="Corbel" w:hAnsi="Corbel" w:cs="Corbel"/>
          <w:sz w:val="20"/>
          <w:szCs w:val="20"/>
          <w:lang w:val="en-US"/>
        </w:rPr>
      </w:pPr>
    </w:p>
    <w:sectPr w:rsidR="00C3698D" w:rsidSect="00D83270">
      <w:footerReference w:type="default" r:id="rId20"/>
      <w:headerReference w:type="first" r:id="rId21"/>
      <w:footerReference w:type="first" r:id="rId22"/>
      <w:pgSz w:w="11906" w:h="16838"/>
      <w:pgMar w:top="1440" w:right="1133" w:bottom="851" w:left="993" w:header="708" w:footer="415"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Jodie Hely" w:date="2026-01-27T08:21:00Z" w:initials="JH">
    <w:p w14:paraId="1A3F7EBF" w14:textId="3760E4DA" w:rsidR="00396BC7" w:rsidRDefault="00396BC7" w:rsidP="00396BC7">
      <w:pPr>
        <w:pStyle w:val="CommentText"/>
      </w:pPr>
      <w:r>
        <w:rPr>
          <w:rStyle w:val="CommentReference"/>
        </w:rPr>
        <w:annotationRef/>
      </w:r>
      <w:r>
        <w:fldChar w:fldCharType="begin"/>
      </w:r>
      <w:r>
        <w:instrText>HYPERLINK "mailto:AlysonR@gcphn.com.au"</w:instrText>
      </w:r>
      <w:bookmarkStart w:id="4" w:name="_@_E4994B989DC24E96BD4E7912756F0445Z"/>
      <w:r>
        <w:fldChar w:fldCharType="separate"/>
      </w:r>
      <w:bookmarkEnd w:id="4"/>
      <w:r w:rsidRPr="00396BC7">
        <w:rPr>
          <w:rStyle w:val="Mention"/>
          <w:noProof/>
        </w:rPr>
        <w:t>@Alyson Ross</w:t>
      </w:r>
      <w:r>
        <w:fldChar w:fldCharType="end"/>
      </w:r>
      <w:r>
        <w:t xml:space="preserve"> I updated this in line with your comment below</w:t>
      </w:r>
    </w:p>
  </w:comment>
  <w:comment w:id="3" w:author="Jodie Hely" w:date="2026-01-28T08:10:00Z" w:initials="JH">
    <w:p w14:paraId="12C5BE7C" w14:textId="77777777" w:rsidR="00793559" w:rsidRDefault="00793559" w:rsidP="00793559">
      <w:pPr>
        <w:pStyle w:val="CommentText"/>
      </w:pPr>
      <w:r>
        <w:rPr>
          <w:rStyle w:val="CommentReference"/>
        </w:rPr>
        <w:annotationRef/>
      </w:r>
      <w:r>
        <w:t>Test comment for CSG</w:t>
      </w:r>
    </w:p>
  </w:comment>
  <w:comment w:id="20" w:author="Victoria Hirst" w:date="2026-02-04T15:59:00Z" w:initials="VH">
    <w:p w14:paraId="036852D8" w14:textId="77777777" w:rsidR="007E0223" w:rsidRDefault="007E0223" w:rsidP="007E0223">
      <w:pPr>
        <w:pStyle w:val="CommentText"/>
      </w:pPr>
      <w:r>
        <w:rPr>
          <w:rStyle w:val="CommentReference"/>
        </w:rPr>
        <w:annotationRef/>
      </w:r>
      <w:r>
        <w:t>Update links</w:t>
      </w:r>
    </w:p>
    <w:p w14:paraId="543ED739" w14:textId="77777777" w:rsidR="007E0223" w:rsidRDefault="007E0223" w:rsidP="007E0223">
      <w:pPr>
        <w:pStyle w:val="CommentText"/>
      </w:pPr>
    </w:p>
    <w:p w14:paraId="09D3983C" w14:textId="77777777" w:rsidR="007E0223" w:rsidRDefault="007E0223" w:rsidP="007E0223">
      <w:pPr>
        <w:pStyle w:val="CommentText"/>
      </w:pPr>
      <w:r>
        <w:t xml:space="preserve">Staff COI </w:t>
      </w:r>
      <w:hyperlink r:id="rId1" w:history="1">
        <w:r w:rsidRPr="00802459">
          <w:rPr>
            <w:rStyle w:val="Hyperlink"/>
          </w:rPr>
          <w:t>Conflict of Interest Policy_Staff.docx</w:t>
        </w:r>
      </w:hyperlink>
      <w:r>
        <w:t xml:space="preserve"> </w:t>
      </w:r>
    </w:p>
    <w:p w14:paraId="1583E6F4" w14:textId="77777777" w:rsidR="007E0223" w:rsidRDefault="007E0223" w:rsidP="007E0223">
      <w:pPr>
        <w:pStyle w:val="CommentText"/>
      </w:pPr>
    </w:p>
    <w:p w14:paraId="1A2043D7" w14:textId="77777777" w:rsidR="007E0223" w:rsidRDefault="007E0223" w:rsidP="007E0223">
      <w:pPr>
        <w:pStyle w:val="CommentText"/>
      </w:pPr>
      <w:r>
        <w:t xml:space="preserve">Panel COI </w:t>
      </w:r>
      <w:hyperlink r:id="rId2" w:history="1">
        <w:r w:rsidRPr="00802459">
          <w:rPr>
            <w:rStyle w:val="Hyperlink"/>
          </w:rPr>
          <w:t>Conflict of Interest Policy - Councils, Advisory and Reference Groups.docx</w:t>
        </w:r>
      </w:hyperlink>
      <w:r>
        <w:t xml:space="preserve"> </w:t>
      </w:r>
    </w:p>
  </w:comment>
  <w:comment w:id="21" w:author="Jodie Hely" w:date="2026-02-05T11:17:00Z" w:initials="JH">
    <w:p w14:paraId="6CADF73F" w14:textId="02659C7A" w:rsidR="004F48D9" w:rsidRDefault="004F48D9" w:rsidP="004F48D9">
      <w:pPr>
        <w:pStyle w:val="CommentText"/>
      </w:pPr>
      <w:r>
        <w:rPr>
          <w:rStyle w:val="CommentReference"/>
        </w:rPr>
        <w:annotationRef/>
      </w:r>
      <w:r>
        <w:fldChar w:fldCharType="begin"/>
      </w:r>
      <w:r>
        <w:instrText>HYPERLINK "mailto:VictoriaH@gcphn.com.au"</w:instrText>
      </w:r>
      <w:bookmarkStart w:id="23" w:name="_@_16995B8DAC0F4E32A0F207AE23E9F922Z"/>
      <w:r>
        <w:fldChar w:fldCharType="separate"/>
      </w:r>
      <w:bookmarkEnd w:id="23"/>
      <w:r w:rsidRPr="004F48D9">
        <w:rPr>
          <w:rStyle w:val="Mention"/>
          <w:noProof/>
        </w:rPr>
        <w:t>@Victoria Hirst</w:t>
      </w:r>
      <w:r>
        <w:fldChar w:fldCharType="end"/>
      </w:r>
      <w:r>
        <w:t xml:space="preserve"> thanks.  Would the Councils, Advisory and Reference Groups be involved in a procurement process?</w:t>
      </w:r>
    </w:p>
  </w:comment>
  <w:comment w:id="22" w:author="Victoria Hirst" w:date="2026-02-05T11:19:00Z" w:initials="VH">
    <w:p w14:paraId="58E723E5" w14:textId="2C58549A" w:rsidR="002D2CBF" w:rsidRDefault="002D2CBF">
      <w:pPr>
        <w:pStyle w:val="CommentText"/>
      </w:pPr>
      <w:r>
        <w:rPr>
          <w:rStyle w:val="CommentReference"/>
        </w:rPr>
        <w:annotationRef/>
      </w:r>
      <w:r w:rsidRPr="1CB44575">
        <w:t xml:space="preserve">No - but it does reference procurement panel process </w:t>
      </w:r>
    </w:p>
  </w:comment>
  <w:comment w:id="24" w:author="Alyson Ross" w:date="2026-01-23T14:59:00Z" w:initials="AR">
    <w:p w14:paraId="37C684AD" w14:textId="5D9658DB" w:rsidR="00D24589" w:rsidRDefault="00D24589" w:rsidP="00D24589">
      <w:pPr>
        <w:pStyle w:val="CommentText"/>
      </w:pPr>
      <w:r>
        <w:rPr>
          <w:rStyle w:val="CommentReference"/>
        </w:rPr>
        <w:annotationRef/>
      </w:r>
      <w:r>
        <w:t>Does this/should this include providing the probity officer for tenders/complex relationship procurements</w:t>
      </w:r>
    </w:p>
  </w:comment>
  <w:comment w:id="25" w:author="Jodie Hely" w:date="2026-01-27T11:13:00Z" w:initials="JH">
    <w:p w14:paraId="7062C442" w14:textId="2A8A258D" w:rsidR="007179E3" w:rsidRDefault="007179E3">
      <w:pPr>
        <w:pStyle w:val="CommentText"/>
      </w:pPr>
      <w:r>
        <w:rPr>
          <w:rStyle w:val="CommentReference"/>
        </w:rPr>
        <w:annotationRef/>
      </w:r>
      <w:r w:rsidRPr="061AD379">
        <w:t>Updated wording</w:t>
      </w:r>
    </w:p>
  </w:comment>
  <w:comment w:id="26" w:author="Victoria Hirst" w:date="2026-02-04T15:59:00Z" w:initials="VH">
    <w:p w14:paraId="39280F27" w14:textId="77777777" w:rsidR="00B92F10" w:rsidRDefault="00B92F10" w:rsidP="00B92F10">
      <w:pPr>
        <w:pStyle w:val="CommentText"/>
      </w:pPr>
      <w:r>
        <w:rPr>
          <w:rStyle w:val="CommentReference"/>
        </w:rPr>
        <w:annotationRef/>
      </w:r>
      <w:r>
        <w:t xml:space="preserve">Update as above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3F7EBF" w15:done="1"/>
  <w15:commentEx w15:paraId="12C5BE7C" w15:paraIdParent="1A3F7EBF" w15:done="1"/>
  <w15:commentEx w15:paraId="1A2043D7" w15:done="1"/>
  <w15:commentEx w15:paraId="6CADF73F" w15:paraIdParent="1A2043D7" w15:done="1"/>
  <w15:commentEx w15:paraId="58E723E5" w15:paraIdParent="1A2043D7" w15:done="1"/>
  <w15:commentEx w15:paraId="37C684AD" w15:done="1"/>
  <w15:commentEx w15:paraId="7062C442" w15:paraIdParent="37C684AD" w15:done="1"/>
  <w15:commentEx w15:paraId="39280F2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2AD6B4" w16cex:dateUtc="2026-01-26T22:21:00Z">
    <w16cex:extLst>
      <w16:ext w16:uri="{CE6994B0-6A32-4C9F-8C6B-6E91EDA988CE}">
        <cr:reactions xmlns:cr="http://schemas.microsoft.com/office/comments/2020/reactions">
          <cr:reaction reactionType="1">
            <cr:reactionInfo dateUtc="2026-01-27T02:57:46Z">
              <cr:user userId="S::AlysonR@gcphn.com.au::e00d078c-e93d-42ee-a91b-6203725a4107" userProvider="AD" userName="Alyson Ross"/>
            </cr:reactionInfo>
          </cr:reaction>
        </cr:reactions>
      </w16:ext>
    </w16cex:extLst>
  </w16cex:commentExtensible>
  <w16cex:commentExtensible w16cex:durableId="78667DBD" w16cex:dateUtc="2026-01-27T22:10:00Z"/>
  <w16cex:commentExtensible w16cex:durableId="584BC1CA" w16cex:dateUtc="2026-02-04T05:59:00Z"/>
  <w16cex:commentExtensible w16cex:durableId="23807FDC" w16cex:dateUtc="2026-02-05T01:17:00Z"/>
  <w16cex:commentExtensible w16cex:durableId="567ACD1D" w16cex:dateUtc="2026-02-05T01:19:00Z"/>
  <w16cex:commentExtensible w16cex:durableId="712DE683" w16cex:dateUtc="2026-01-23T04:59:00Z"/>
  <w16cex:commentExtensible w16cex:durableId="0DA47377" w16cex:dateUtc="2026-01-27T01:13:00Z"/>
  <w16cex:commentExtensible w16cex:durableId="50E31647" w16cex:dateUtc="2026-02-04T0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3F7EBF" w16cid:durableId="2F2AD6B4"/>
  <w16cid:commentId w16cid:paraId="12C5BE7C" w16cid:durableId="78667DBD"/>
  <w16cid:commentId w16cid:paraId="1A2043D7" w16cid:durableId="584BC1CA"/>
  <w16cid:commentId w16cid:paraId="6CADF73F" w16cid:durableId="23807FDC"/>
  <w16cid:commentId w16cid:paraId="58E723E5" w16cid:durableId="567ACD1D"/>
  <w16cid:commentId w16cid:paraId="37C684AD" w16cid:durableId="712DE683"/>
  <w16cid:commentId w16cid:paraId="7062C442" w16cid:durableId="0DA47377"/>
  <w16cid:commentId w16cid:paraId="39280F27" w16cid:durableId="50E316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0F15F" w14:textId="77777777" w:rsidR="00C11BF3" w:rsidRDefault="00C11BF3" w:rsidP="00A2073B">
      <w:pPr>
        <w:spacing w:after="0" w:line="240" w:lineRule="auto"/>
      </w:pPr>
      <w:r>
        <w:separator/>
      </w:r>
    </w:p>
  </w:endnote>
  <w:endnote w:type="continuationSeparator" w:id="0">
    <w:p w14:paraId="1829B967" w14:textId="77777777" w:rsidR="00C11BF3" w:rsidRDefault="00C11BF3" w:rsidP="00A20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3B83" w14:textId="17BAC2FC" w:rsidR="001B231C" w:rsidRPr="00E07CCE" w:rsidRDefault="003C2C11" w:rsidP="00E07CCE">
    <w:pPr>
      <w:pStyle w:val="Footer"/>
      <w:rPr>
        <w:rFonts w:eastAsia="Arial" w:cs="ArialMT"/>
        <w:color w:val="808080"/>
        <w:spacing w:val="-1"/>
        <w:sz w:val="18"/>
        <w:szCs w:val="18"/>
        <w:lang w:val="en-US"/>
      </w:rPr>
    </w:pPr>
    <w:r>
      <w:rPr>
        <w:rFonts w:eastAsia="Arial" w:cs="ArialMT"/>
        <w:color w:val="808080"/>
        <w:spacing w:val="-1"/>
        <w:sz w:val="18"/>
        <w:szCs w:val="18"/>
        <w:lang w:val="en-US"/>
      </w:rPr>
      <w:tab/>
    </w:r>
    <w:r w:rsidRPr="003C2C11">
      <w:rPr>
        <w:rFonts w:ascii="Calibri" w:eastAsia="Arial" w:hAnsi="Calibri" w:cs="ArialMT"/>
        <w:color w:val="808080"/>
        <w:spacing w:val="-1"/>
        <w:sz w:val="18"/>
        <w:szCs w:val="18"/>
        <w:lang w:val="en-US"/>
      </w:rPr>
      <w:t xml:space="preserve">Page | </w:t>
    </w:r>
    <w:r w:rsidRPr="003C2C11">
      <w:rPr>
        <w:rFonts w:ascii="Calibri" w:eastAsia="Arial" w:hAnsi="Calibri" w:cs="ArialMT"/>
        <w:color w:val="808080"/>
        <w:spacing w:val="-1"/>
        <w:sz w:val="18"/>
        <w:szCs w:val="18"/>
        <w:lang w:val="en-US"/>
      </w:rPr>
      <w:fldChar w:fldCharType="begin"/>
    </w:r>
    <w:r w:rsidRPr="003C2C11">
      <w:rPr>
        <w:rFonts w:ascii="Calibri" w:eastAsia="Arial" w:hAnsi="Calibri" w:cs="ArialMT"/>
        <w:color w:val="808080"/>
        <w:spacing w:val="-1"/>
        <w:sz w:val="18"/>
        <w:szCs w:val="18"/>
        <w:lang w:val="en-US"/>
      </w:rPr>
      <w:instrText xml:space="preserve"> PAGE   \* MERGEFORMAT </w:instrText>
    </w:r>
    <w:r w:rsidRPr="003C2C11">
      <w:rPr>
        <w:rFonts w:ascii="Calibri" w:eastAsia="Arial" w:hAnsi="Calibri" w:cs="ArialMT"/>
        <w:color w:val="808080"/>
        <w:spacing w:val="-1"/>
        <w:sz w:val="18"/>
        <w:szCs w:val="18"/>
        <w:lang w:val="en-US"/>
      </w:rPr>
      <w:fldChar w:fldCharType="separate"/>
    </w:r>
    <w:r w:rsidRPr="003C2C11">
      <w:rPr>
        <w:rFonts w:ascii="Calibri" w:eastAsia="Arial" w:hAnsi="Calibri" w:cs="ArialMT"/>
        <w:color w:val="808080"/>
        <w:spacing w:val="-1"/>
        <w:sz w:val="18"/>
        <w:szCs w:val="18"/>
        <w:lang w:val="en-US"/>
      </w:rPr>
      <w:t>1</w:t>
    </w:r>
    <w:r w:rsidRPr="003C2C11">
      <w:rPr>
        <w:rFonts w:ascii="Calibri" w:eastAsia="Arial" w:hAnsi="Calibri" w:cs="ArialMT"/>
        <w:color w:val="808080"/>
        <w:spacing w:val="-1"/>
        <w:sz w:val="18"/>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8C43" w14:textId="2E6CF68B" w:rsidR="001B231C" w:rsidRPr="009E7B8F" w:rsidRDefault="001E4C75" w:rsidP="00803FC3">
    <w:pPr>
      <w:spacing w:after="0" w:line="240" w:lineRule="auto"/>
      <w:ind w:left="4111" w:hanging="4111"/>
      <w:rPr>
        <w:rFonts w:ascii="Calibri" w:eastAsia="Arial" w:hAnsi="Calibri" w:cs="ArialMT"/>
        <w:color w:val="808080"/>
        <w:spacing w:val="-1"/>
        <w:sz w:val="18"/>
        <w:szCs w:val="18"/>
        <w:lang w:val="en-US"/>
      </w:rPr>
    </w:pPr>
    <w:r>
      <w:rPr>
        <w:rFonts w:ascii="Calibri" w:eastAsia="Arial" w:hAnsi="Calibri" w:cs="ArialMT"/>
        <w:color w:val="808080"/>
        <w:spacing w:val="-1"/>
        <w:sz w:val="18"/>
        <w:szCs w:val="18"/>
        <w:lang w:val="en-US"/>
      </w:rPr>
      <w:t>August 2025</w:t>
    </w:r>
    <w:r w:rsidR="004573BE">
      <w:rPr>
        <w:rFonts w:ascii="Calibri" w:eastAsia="Arial" w:hAnsi="Calibri" w:cs="ArialMT"/>
        <w:color w:val="808080"/>
        <w:spacing w:val="-1"/>
        <w:sz w:val="18"/>
        <w:szCs w:val="18"/>
        <w:lang w:val="en-US"/>
      </w:rPr>
      <w:tab/>
    </w:r>
    <w:r w:rsidR="004573BE">
      <w:rPr>
        <w:rFonts w:ascii="Calibri" w:eastAsia="Arial" w:hAnsi="Calibri" w:cs="ArialMT"/>
        <w:color w:val="808080"/>
        <w:spacing w:val="-1"/>
        <w:sz w:val="18"/>
        <w:szCs w:val="18"/>
        <w:lang w:val="en-US"/>
      </w:rPr>
      <w:tab/>
    </w:r>
    <w:r w:rsidR="004573BE">
      <w:rPr>
        <w:rFonts w:ascii="Calibri" w:eastAsia="Arial" w:hAnsi="Calibri" w:cs="ArialMT"/>
        <w:color w:val="808080"/>
        <w:spacing w:val="-1"/>
        <w:sz w:val="18"/>
        <w:szCs w:val="18"/>
        <w:lang w:val="en-US"/>
      </w:rPr>
      <w:tab/>
    </w:r>
    <w:r w:rsidR="003C2C11" w:rsidRPr="003C2C11">
      <w:rPr>
        <w:rFonts w:ascii="Calibri" w:eastAsia="Arial" w:hAnsi="Calibri" w:cs="ArialMT"/>
        <w:color w:val="808080"/>
        <w:spacing w:val="-1"/>
        <w:sz w:val="18"/>
        <w:szCs w:val="18"/>
        <w:lang w:val="en-US"/>
      </w:rPr>
      <w:t xml:space="preserve">Page | </w:t>
    </w:r>
    <w:r w:rsidR="003C2C11" w:rsidRPr="003C2C11">
      <w:rPr>
        <w:rFonts w:ascii="Calibri" w:eastAsia="Arial" w:hAnsi="Calibri" w:cs="ArialMT"/>
        <w:color w:val="808080"/>
        <w:spacing w:val="-1"/>
        <w:sz w:val="18"/>
        <w:szCs w:val="18"/>
        <w:lang w:val="en-US"/>
      </w:rPr>
      <w:fldChar w:fldCharType="begin"/>
    </w:r>
    <w:r w:rsidR="003C2C11" w:rsidRPr="003C2C11">
      <w:rPr>
        <w:rFonts w:ascii="Calibri" w:eastAsia="Arial" w:hAnsi="Calibri" w:cs="ArialMT"/>
        <w:color w:val="808080"/>
        <w:spacing w:val="-1"/>
        <w:sz w:val="18"/>
        <w:szCs w:val="18"/>
        <w:lang w:val="en-US"/>
      </w:rPr>
      <w:instrText xml:space="preserve"> PAGE   \* MERGEFORMAT </w:instrText>
    </w:r>
    <w:r w:rsidR="003C2C11" w:rsidRPr="003C2C11">
      <w:rPr>
        <w:rFonts w:ascii="Calibri" w:eastAsia="Arial" w:hAnsi="Calibri" w:cs="ArialMT"/>
        <w:color w:val="808080"/>
        <w:spacing w:val="-1"/>
        <w:sz w:val="18"/>
        <w:szCs w:val="18"/>
        <w:lang w:val="en-US"/>
      </w:rPr>
      <w:fldChar w:fldCharType="separate"/>
    </w:r>
    <w:r w:rsidR="003C2C11" w:rsidRPr="003C2C11">
      <w:rPr>
        <w:rFonts w:ascii="Calibri" w:eastAsia="Arial" w:hAnsi="Calibri" w:cs="ArialMT"/>
        <w:noProof/>
        <w:color w:val="808080"/>
        <w:spacing w:val="-1"/>
        <w:sz w:val="18"/>
        <w:szCs w:val="18"/>
        <w:lang w:val="en-US"/>
      </w:rPr>
      <w:t>1</w:t>
    </w:r>
    <w:r w:rsidR="003C2C11" w:rsidRPr="003C2C11">
      <w:rPr>
        <w:rFonts w:ascii="Calibri" w:eastAsia="Arial" w:hAnsi="Calibri" w:cs="ArialMT"/>
        <w:noProof/>
        <w:color w:val="808080"/>
        <w:spacing w:val="-1"/>
        <w:sz w:val="18"/>
        <w:szCs w:val="18"/>
        <w:lang w:val="en-US"/>
      </w:rPr>
      <w:fldChar w:fldCharType="end"/>
    </w:r>
  </w:p>
  <w:p w14:paraId="7EEA7026" w14:textId="77777777" w:rsidR="001B231C" w:rsidRDefault="001B2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08F49" w14:textId="77777777" w:rsidR="00C11BF3" w:rsidRDefault="00C11BF3" w:rsidP="00A2073B">
      <w:pPr>
        <w:spacing w:after="0" w:line="240" w:lineRule="auto"/>
      </w:pPr>
      <w:r>
        <w:separator/>
      </w:r>
    </w:p>
  </w:footnote>
  <w:footnote w:type="continuationSeparator" w:id="0">
    <w:p w14:paraId="695F0B43" w14:textId="77777777" w:rsidR="00C11BF3" w:rsidRDefault="00C11BF3" w:rsidP="00A20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52BC" w14:textId="3A2BE14D" w:rsidR="001B231C" w:rsidRDefault="00621709">
    <w:pPr>
      <w:pStyle w:val="Header"/>
    </w:pPr>
    <w:r>
      <w:rPr>
        <w:noProof/>
      </w:rPr>
      <w:drawing>
        <wp:anchor distT="0" distB="0" distL="114300" distR="114300" simplePos="0" relativeHeight="251658240" behindDoc="0" locked="0" layoutInCell="1" allowOverlap="1" wp14:anchorId="406F21C9" wp14:editId="0CA774EE">
          <wp:simplePos x="0" y="0"/>
          <wp:positionH relativeFrom="column">
            <wp:posOffset>4701540</wp:posOffset>
          </wp:positionH>
          <wp:positionV relativeFrom="paragraph">
            <wp:posOffset>-158115</wp:posOffset>
          </wp:positionV>
          <wp:extent cx="1657350" cy="1104900"/>
          <wp:effectExtent l="0" t="0" r="0" b="0"/>
          <wp:wrapTopAndBottom/>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57350" cy="1104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1818"/>
    <w:multiLevelType w:val="hybridMultilevel"/>
    <w:tmpl w:val="4D1C9760"/>
    <w:lvl w:ilvl="0" w:tplc="40A8D920">
      <w:start w:val="1"/>
      <w:numFmt w:val="bullet"/>
      <w:pStyle w:val="ListBullet"/>
      <w:lvlText w:val=""/>
      <w:lvlJc w:val="left"/>
      <w:pPr>
        <w:tabs>
          <w:tab w:val="num" w:pos="283"/>
        </w:tabs>
        <w:ind w:left="283" w:hanging="283"/>
      </w:pPr>
      <w:rPr>
        <w:rFonts w:ascii="Symbol" w:hAnsi="Symbol" w:hint="default"/>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1" w15:restartNumberingAfterBreak="0">
    <w:nsid w:val="12C074FD"/>
    <w:multiLevelType w:val="hybridMultilevel"/>
    <w:tmpl w:val="761813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D230DB1"/>
    <w:multiLevelType w:val="hybridMultilevel"/>
    <w:tmpl w:val="43F8EE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29E48AF"/>
    <w:multiLevelType w:val="multilevel"/>
    <w:tmpl w:val="EBAE00FE"/>
    <w:lvl w:ilvl="0">
      <w:start w:val="1"/>
      <w:numFmt w:val="decimal"/>
      <w:lvlText w:val="%1."/>
      <w:lvlJc w:val="left"/>
      <w:pPr>
        <w:ind w:left="360" w:hanging="360"/>
      </w:pPr>
      <w:rPr>
        <w:rFonts w:asciiTheme="minorHAnsi" w:hAnsiTheme="minorHAnsi" w:cstheme="minorHAnsi" w:hint="default"/>
        <w:b/>
        <w:i w:val="0"/>
        <w:sz w:val="22"/>
        <w:szCs w:val="22"/>
      </w:rPr>
    </w:lvl>
    <w:lvl w:ilvl="1">
      <w:start w:val="1"/>
      <w:numFmt w:val="decimal"/>
      <w:pStyle w:val="AgendaListParagraphSubHeadingxx"/>
      <w:isLgl/>
      <w:lvlText w:val="%1.%2."/>
      <w:lvlJc w:val="left"/>
      <w:pPr>
        <w:ind w:left="1778" w:hanging="360"/>
      </w:pPr>
      <w:rPr>
        <w:rFonts w:asciiTheme="minorHAnsi" w:hAnsiTheme="minorHAnsi" w:cstheme="minorHAnsi" w:hint="default"/>
        <w:b/>
        <w:i w:val="0"/>
        <w:color w:val="000000" w:themeColor="text1"/>
        <w:sz w:val="22"/>
        <w:szCs w:val="22"/>
        <w:u w:color="FFFFFF" w:themeColor="background1"/>
      </w:rPr>
    </w:lvl>
    <w:lvl w:ilvl="2">
      <w:start w:val="1"/>
      <w:numFmt w:val="decimal"/>
      <w:pStyle w:val="AgendaListParaxxx"/>
      <w:isLgl/>
      <w:lvlText w:val="%1.%2.%3."/>
      <w:lvlJc w:val="left"/>
      <w:pPr>
        <w:ind w:left="1080" w:hanging="720"/>
      </w:pPr>
      <w:rPr>
        <w:rFonts w:asciiTheme="minorHAnsi" w:hAnsiTheme="minorHAnsi" w:cstheme="minorHAnsi" w:hint="default"/>
        <w:b/>
        <w:i w:val="0"/>
        <w:color w:val="auto"/>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285C60"/>
    <w:multiLevelType w:val="hybridMultilevel"/>
    <w:tmpl w:val="0A4C78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6493D55"/>
    <w:multiLevelType w:val="hybridMultilevel"/>
    <w:tmpl w:val="334A2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85E0C2A"/>
    <w:multiLevelType w:val="hybridMultilevel"/>
    <w:tmpl w:val="BB44BAC4"/>
    <w:lvl w:ilvl="0" w:tplc="FFFACF78">
      <w:numFmt w:val="bullet"/>
      <w:lvlText w:val="•"/>
      <w:lvlJc w:val="left"/>
      <w:pPr>
        <w:ind w:left="888" w:hanging="444"/>
      </w:pPr>
      <w:rPr>
        <w:rFonts w:ascii="Calibri" w:eastAsia="Corbel" w:hAnsi="Calibri" w:cs="Calibri" w:hint="default"/>
      </w:rPr>
    </w:lvl>
    <w:lvl w:ilvl="1" w:tplc="0C090003" w:tentative="1">
      <w:start w:val="1"/>
      <w:numFmt w:val="bullet"/>
      <w:lvlText w:val="o"/>
      <w:lvlJc w:val="left"/>
      <w:pPr>
        <w:ind w:left="1524" w:hanging="360"/>
      </w:pPr>
      <w:rPr>
        <w:rFonts w:ascii="Courier New" w:hAnsi="Courier New" w:cs="Courier New" w:hint="default"/>
      </w:rPr>
    </w:lvl>
    <w:lvl w:ilvl="2" w:tplc="0C090005" w:tentative="1">
      <w:start w:val="1"/>
      <w:numFmt w:val="bullet"/>
      <w:lvlText w:val=""/>
      <w:lvlJc w:val="left"/>
      <w:pPr>
        <w:ind w:left="2244" w:hanging="360"/>
      </w:pPr>
      <w:rPr>
        <w:rFonts w:ascii="Wingdings" w:hAnsi="Wingdings" w:hint="default"/>
      </w:rPr>
    </w:lvl>
    <w:lvl w:ilvl="3" w:tplc="0C090001" w:tentative="1">
      <w:start w:val="1"/>
      <w:numFmt w:val="bullet"/>
      <w:lvlText w:val=""/>
      <w:lvlJc w:val="left"/>
      <w:pPr>
        <w:ind w:left="2964" w:hanging="360"/>
      </w:pPr>
      <w:rPr>
        <w:rFonts w:ascii="Symbol" w:hAnsi="Symbol" w:hint="default"/>
      </w:rPr>
    </w:lvl>
    <w:lvl w:ilvl="4" w:tplc="0C090003" w:tentative="1">
      <w:start w:val="1"/>
      <w:numFmt w:val="bullet"/>
      <w:lvlText w:val="o"/>
      <w:lvlJc w:val="left"/>
      <w:pPr>
        <w:ind w:left="3684" w:hanging="360"/>
      </w:pPr>
      <w:rPr>
        <w:rFonts w:ascii="Courier New" w:hAnsi="Courier New" w:cs="Courier New" w:hint="default"/>
      </w:rPr>
    </w:lvl>
    <w:lvl w:ilvl="5" w:tplc="0C090005" w:tentative="1">
      <w:start w:val="1"/>
      <w:numFmt w:val="bullet"/>
      <w:lvlText w:val=""/>
      <w:lvlJc w:val="left"/>
      <w:pPr>
        <w:ind w:left="4404" w:hanging="360"/>
      </w:pPr>
      <w:rPr>
        <w:rFonts w:ascii="Wingdings" w:hAnsi="Wingdings" w:hint="default"/>
      </w:rPr>
    </w:lvl>
    <w:lvl w:ilvl="6" w:tplc="0C090001" w:tentative="1">
      <w:start w:val="1"/>
      <w:numFmt w:val="bullet"/>
      <w:lvlText w:val=""/>
      <w:lvlJc w:val="left"/>
      <w:pPr>
        <w:ind w:left="5124" w:hanging="360"/>
      </w:pPr>
      <w:rPr>
        <w:rFonts w:ascii="Symbol" w:hAnsi="Symbol" w:hint="default"/>
      </w:rPr>
    </w:lvl>
    <w:lvl w:ilvl="7" w:tplc="0C090003" w:tentative="1">
      <w:start w:val="1"/>
      <w:numFmt w:val="bullet"/>
      <w:lvlText w:val="o"/>
      <w:lvlJc w:val="left"/>
      <w:pPr>
        <w:ind w:left="5844" w:hanging="360"/>
      </w:pPr>
      <w:rPr>
        <w:rFonts w:ascii="Courier New" w:hAnsi="Courier New" w:cs="Courier New" w:hint="default"/>
      </w:rPr>
    </w:lvl>
    <w:lvl w:ilvl="8" w:tplc="0C090005" w:tentative="1">
      <w:start w:val="1"/>
      <w:numFmt w:val="bullet"/>
      <w:lvlText w:val=""/>
      <w:lvlJc w:val="left"/>
      <w:pPr>
        <w:ind w:left="6564" w:hanging="360"/>
      </w:pPr>
      <w:rPr>
        <w:rFonts w:ascii="Wingdings" w:hAnsi="Wingdings" w:hint="default"/>
      </w:rPr>
    </w:lvl>
  </w:abstractNum>
  <w:abstractNum w:abstractNumId="7" w15:restartNumberingAfterBreak="0">
    <w:nsid w:val="54074BF6"/>
    <w:multiLevelType w:val="hybridMultilevel"/>
    <w:tmpl w:val="C07CE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6DF3A53"/>
    <w:multiLevelType w:val="hybridMultilevel"/>
    <w:tmpl w:val="84505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E7B31DD"/>
    <w:multiLevelType w:val="hybridMultilevel"/>
    <w:tmpl w:val="5958F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23952615">
    <w:abstractNumId w:val="3"/>
  </w:num>
  <w:num w:numId="2" w16cid:durableId="1063213106">
    <w:abstractNumId w:val="0"/>
  </w:num>
  <w:num w:numId="3" w16cid:durableId="1549218301">
    <w:abstractNumId w:val="5"/>
  </w:num>
  <w:num w:numId="4" w16cid:durableId="311373032">
    <w:abstractNumId w:val="6"/>
  </w:num>
  <w:num w:numId="5" w16cid:durableId="1436487210">
    <w:abstractNumId w:val="2"/>
  </w:num>
  <w:num w:numId="6" w16cid:durableId="878981469">
    <w:abstractNumId w:val="4"/>
  </w:num>
  <w:num w:numId="7" w16cid:durableId="437456685">
    <w:abstractNumId w:val="1"/>
  </w:num>
  <w:num w:numId="8" w16cid:durableId="1014965538">
    <w:abstractNumId w:val="8"/>
  </w:num>
  <w:num w:numId="9" w16cid:durableId="952589395">
    <w:abstractNumId w:val="9"/>
  </w:num>
  <w:num w:numId="10" w16cid:durableId="168256451">
    <w:abstractNumId w:val="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die Hely">
    <w15:presenceInfo w15:providerId="None" w15:userId="Jodie Hely"/>
  </w15:person>
  <w15:person w15:author="Victoria Hirst">
    <w15:presenceInfo w15:providerId="AD" w15:userId="S::VictoriaH@gcphn.com.au::be414dc3-98d6-461c-aea9-b08468f5a182"/>
  </w15:person>
  <w15:person w15:author="Alyson Ross">
    <w15:presenceInfo w15:providerId="AD" w15:userId="S::AlysonR@gcphn.com.au::e00d078c-e93d-42ee-a91b-6203725a4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hideSpellingErrors/>
  <w:hideGrammaticalErrors/>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73B"/>
    <w:rsid w:val="000116F2"/>
    <w:rsid w:val="000139FD"/>
    <w:rsid w:val="00014DBC"/>
    <w:rsid w:val="000161CB"/>
    <w:rsid w:val="000201DD"/>
    <w:rsid w:val="000240D1"/>
    <w:rsid w:val="000257CD"/>
    <w:rsid w:val="0002756D"/>
    <w:rsid w:val="0003296B"/>
    <w:rsid w:val="00037258"/>
    <w:rsid w:val="00037942"/>
    <w:rsid w:val="00040F7A"/>
    <w:rsid w:val="00041218"/>
    <w:rsid w:val="00046D11"/>
    <w:rsid w:val="000561C1"/>
    <w:rsid w:val="00063CE1"/>
    <w:rsid w:val="0006588C"/>
    <w:rsid w:val="00066049"/>
    <w:rsid w:val="00066DAF"/>
    <w:rsid w:val="000718C0"/>
    <w:rsid w:val="0007423E"/>
    <w:rsid w:val="00075220"/>
    <w:rsid w:val="000867BB"/>
    <w:rsid w:val="00090E5C"/>
    <w:rsid w:val="000917AC"/>
    <w:rsid w:val="000A0366"/>
    <w:rsid w:val="000B4B29"/>
    <w:rsid w:val="000D463A"/>
    <w:rsid w:val="000D501A"/>
    <w:rsid w:val="000D5F05"/>
    <w:rsid w:val="000E57F1"/>
    <w:rsid w:val="000E62F8"/>
    <w:rsid w:val="000F232E"/>
    <w:rsid w:val="000F3A67"/>
    <w:rsid w:val="00102A10"/>
    <w:rsid w:val="0010353A"/>
    <w:rsid w:val="00113051"/>
    <w:rsid w:val="0011695A"/>
    <w:rsid w:val="00121854"/>
    <w:rsid w:val="00126D2D"/>
    <w:rsid w:val="00130439"/>
    <w:rsid w:val="00131DD1"/>
    <w:rsid w:val="0013752D"/>
    <w:rsid w:val="00146827"/>
    <w:rsid w:val="00151F1B"/>
    <w:rsid w:val="00152B96"/>
    <w:rsid w:val="001565EB"/>
    <w:rsid w:val="001610B0"/>
    <w:rsid w:val="00162AAE"/>
    <w:rsid w:val="00164AA5"/>
    <w:rsid w:val="00166199"/>
    <w:rsid w:val="00177028"/>
    <w:rsid w:val="00181E74"/>
    <w:rsid w:val="00185838"/>
    <w:rsid w:val="001858D2"/>
    <w:rsid w:val="001861C9"/>
    <w:rsid w:val="001874DA"/>
    <w:rsid w:val="0019254E"/>
    <w:rsid w:val="00194DE7"/>
    <w:rsid w:val="00196F49"/>
    <w:rsid w:val="001A4759"/>
    <w:rsid w:val="001A7C5B"/>
    <w:rsid w:val="001B0FEB"/>
    <w:rsid w:val="001B231C"/>
    <w:rsid w:val="001B5C33"/>
    <w:rsid w:val="001C627B"/>
    <w:rsid w:val="001E06D0"/>
    <w:rsid w:val="001E3DEC"/>
    <w:rsid w:val="001E4C75"/>
    <w:rsid w:val="001E61E4"/>
    <w:rsid w:val="001F39F8"/>
    <w:rsid w:val="001F3B6E"/>
    <w:rsid w:val="001F5178"/>
    <w:rsid w:val="001F631E"/>
    <w:rsid w:val="001F7FD3"/>
    <w:rsid w:val="002052C7"/>
    <w:rsid w:val="00206191"/>
    <w:rsid w:val="002109E6"/>
    <w:rsid w:val="00212510"/>
    <w:rsid w:val="00213D30"/>
    <w:rsid w:val="002155B2"/>
    <w:rsid w:val="00226250"/>
    <w:rsid w:val="0023715E"/>
    <w:rsid w:val="002400FC"/>
    <w:rsid w:val="0024010B"/>
    <w:rsid w:val="00245FB0"/>
    <w:rsid w:val="00255708"/>
    <w:rsid w:val="00260191"/>
    <w:rsid w:val="00266A7C"/>
    <w:rsid w:val="0028493F"/>
    <w:rsid w:val="00287F1D"/>
    <w:rsid w:val="002901CB"/>
    <w:rsid w:val="00291541"/>
    <w:rsid w:val="002A02B9"/>
    <w:rsid w:val="002A12E5"/>
    <w:rsid w:val="002A4511"/>
    <w:rsid w:val="002A72E0"/>
    <w:rsid w:val="002B0C06"/>
    <w:rsid w:val="002B4908"/>
    <w:rsid w:val="002B4F4A"/>
    <w:rsid w:val="002C5931"/>
    <w:rsid w:val="002C6652"/>
    <w:rsid w:val="002D17EB"/>
    <w:rsid w:val="002D190D"/>
    <w:rsid w:val="002D2CBF"/>
    <w:rsid w:val="002E2607"/>
    <w:rsid w:val="002E3ED8"/>
    <w:rsid w:val="002E61E1"/>
    <w:rsid w:val="002F21CA"/>
    <w:rsid w:val="002F3159"/>
    <w:rsid w:val="002F56D6"/>
    <w:rsid w:val="002F574B"/>
    <w:rsid w:val="002F62B2"/>
    <w:rsid w:val="00306DD5"/>
    <w:rsid w:val="0031755D"/>
    <w:rsid w:val="00327D23"/>
    <w:rsid w:val="003308FA"/>
    <w:rsid w:val="003317B4"/>
    <w:rsid w:val="00336295"/>
    <w:rsid w:val="003433C7"/>
    <w:rsid w:val="00346B87"/>
    <w:rsid w:val="003473B4"/>
    <w:rsid w:val="00350BE4"/>
    <w:rsid w:val="00355120"/>
    <w:rsid w:val="00357B04"/>
    <w:rsid w:val="003606DE"/>
    <w:rsid w:val="003673FC"/>
    <w:rsid w:val="00373235"/>
    <w:rsid w:val="00375788"/>
    <w:rsid w:val="00380B47"/>
    <w:rsid w:val="003855C1"/>
    <w:rsid w:val="00396BC7"/>
    <w:rsid w:val="003A009C"/>
    <w:rsid w:val="003A100D"/>
    <w:rsid w:val="003A4765"/>
    <w:rsid w:val="003B3FC6"/>
    <w:rsid w:val="003C0AB1"/>
    <w:rsid w:val="003C2C11"/>
    <w:rsid w:val="003C3EDA"/>
    <w:rsid w:val="003C56BE"/>
    <w:rsid w:val="003C5E3D"/>
    <w:rsid w:val="003C71CC"/>
    <w:rsid w:val="003C7DF1"/>
    <w:rsid w:val="003E04C6"/>
    <w:rsid w:val="003E3CD9"/>
    <w:rsid w:val="003E66E0"/>
    <w:rsid w:val="003F1ED6"/>
    <w:rsid w:val="003F2BB5"/>
    <w:rsid w:val="004200BD"/>
    <w:rsid w:val="00425AFF"/>
    <w:rsid w:val="00425EBF"/>
    <w:rsid w:val="00426446"/>
    <w:rsid w:val="00430D86"/>
    <w:rsid w:val="00435893"/>
    <w:rsid w:val="0043786E"/>
    <w:rsid w:val="004442C9"/>
    <w:rsid w:val="00450244"/>
    <w:rsid w:val="004565C9"/>
    <w:rsid w:val="004573BE"/>
    <w:rsid w:val="00467D1C"/>
    <w:rsid w:val="004702D8"/>
    <w:rsid w:val="00473592"/>
    <w:rsid w:val="00474EC8"/>
    <w:rsid w:val="00480920"/>
    <w:rsid w:val="00482396"/>
    <w:rsid w:val="004946CD"/>
    <w:rsid w:val="004B44D8"/>
    <w:rsid w:val="004B6E82"/>
    <w:rsid w:val="004C361F"/>
    <w:rsid w:val="004C4C9B"/>
    <w:rsid w:val="004C7799"/>
    <w:rsid w:val="004D0569"/>
    <w:rsid w:val="004D4C13"/>
    <w:rsid w:val="004D65DB"/>
    <w:rsid w:val="004F1645"/>
    <w:rsid w:val="004F37C5"/>
    <w:rsid w:val="004F48D9"/>
    <w:rsid w:val="004F5A52"/>
    <w:rsid w:val="004F6976"/>
    <w:rsid w:val="00500DBC"/>
    <w:rsid w:val="0050294F"/>
    <w:rsid w:val="00514D7C"/>
    <w:rsid w:val="0052021E"/>
    <w:rsid w:val="005229D3"/>
    <w:rsid w:val="00524CF5"/>
    <w:rsid w:val="0052585D"/>
    <w:rsid w:val="00526035"/>
    <w:rsid w:val="00526AB3"/>
    <w:rsid w:val="00537510"/>
    <w:rsid w:val="00541DFF"/>
    <w:rsid w:val="005543E2"/>
    <w:rsid w:val="005568E2"/>
    <w:rsid w:val="00563B0A"/>
    <w:rsid w:val="00566998"/>
    <w:rsid w:val="00576E08"/>
    <w:rsid w:val="00580EEC"/>
    <w:rsid w:val="005830BB"/>
    <w:rsid w:val="0058432A"/>
    <w:rsid w:val="00593192"/>
    <w:rsid w:val="00593DA0"/>
    <w:rsid w:val="005B1BC0"/>
    <w:rsid w:val="005D3664"/>
    <w:rsid w:val="005D39A3"/>
    <w:rsid w:val="005D41E5"/>
    <w:rsid w:val="005E3AAE"/>
    <w:rsid w:val="005E4D5E"/>
    <w:rsid w:val="005F00B3"/>
    <w:rsid w:val="005F0301"/>
    <w:rsid w:val="005F0CEA"/>
    <w:rsid w:val="005F236E"/>
    <w:rsid w:val="005F6668"/>
    <w:rsid w:val="005F70A9"/>
    <w:rsid w:val="005F7EFD"/>
    <w:rsid w:val="0060310C"/>
    <w:rsid w:val="00607D74"/>
    <w:rsid w:val="00607FE9"/>
    <w:rsid w:val="006115A6"/>
    <w:rsid w:val="00621709"/>
    <w:rsid w:val="0062544D"/>
    <w:rsid w:val="00626FDD"/>
    <w:rsid w:val="006373DC"/>
    <w:rsid w:val="006447DF"/>
    <w:rsid w:val="0066217E"/>
    <w:rsid w:val="006621C4"/>
    <w:rsid w:val="0067023A"/>
    <w:rsid w:val="006735F7"/>
    <w:rsid w:val="00675FD4"/>
    <w:rsid w:val="006823FE"/>
    <w:rsid w:val="00686794"/>
    <w:rsid w:val="00691450"/>
    <w:rsid w:val="00696326"/>
    <w:rsid w:val="006A2C5E"/>
    <w:rsid w:val="006B0832"/>
    <w:rsid w:val="006B288C"/>
    <w:rsid w:val="006B292E"/>
    <w:rsid w:val="006B726F"/>
    <w:rsid w:val="006D37A3"/>
    <w:rsid w:val="006D39A9"/>
    <w:rsid w:val="006D6419"/>
    <w:rsid w:val="006D79F4"/>
    <w:rsid w:val="006E0091"/>
    <w:rsid w:val="006E2790"/>
    <w:rsid w:val="006F384E"/>
    <w:rsid w:val="006F5E0F"/>
    <w:rsid w:val="0070056C"/>
    <w:rsid w:val="00712139"/>
    <w:rsid w:val="00712F04"/>
    <w:rsid w:val="007133CE"/>
    <w:rsid w:val="007179E3"/>
    <w:rsid w:val="00726AE4"/>
    <w:rsid w:val="00735B79"/>
    <w:rsid w:val="007408FB"/>
    <w:rsid w:val="00742C60"/>
    <w:rsid w:val="007438B4"/>
    <w:rsid w:val="00766A28"/>
    <w:rsid w:val="00773AD8"/>
    <w:rsid w:val="0077547C"/>
    <w:rsid w:val="00777263"/>
    <w:rsid w:val="0078760D"/>
    <w:rsid w:val="007912A2"/>
    <w:rsid w:val="00793559"/>
    <w:rsid w:val="007A4E85"/>
    <w:rsid w:val="007A6ABC"/>
    <w:rsid w:val="007B1525"/>
    <w:rsid w:val="007B5486"/>
    <w:rsid w:val="007C0731"/>
    <w:rsid w:val="007C3DF6"/>
    <w:rsid w:val="007C49F8"/>
    <w:rsid w:val="007C5E8B"/>
    <w:rsid w:val="007D1D70"/>
    <w:rsid w:val="007D6E72"/>
    <w:rsid w:val="007E0223"/>
    <w:rsid w:val="007E2D44"/>
    <w:rsid w:val="007E2EA9"/>
    <w:rsid w:val="007E3618"/>
    <w:rsid w:val="007E60EF"/>
    <w:rsid w:val="007F3178"/>
    <w:rsid w:val="007F43FC"/>
    <w:rsid w:val="00803FC3"/>
    <w:rsid w:val="0080548F"/>
    <w:rsid w:val="00811BD5"/>
    <w:rsid w:val="00812DE3"/>
    <w:rsid w:val="00814917"/>
    <w:rsid w:val="00815286"/>
    <w:rsid w:val="00816729"/>
    <w:rsid w:val="00820B23"/>
    <w:rsid w:val="00830EF0"/>
    <w:rsid w:val="0083284E"/>
    <w:rsid w:val="00840507"/>
    <w:rsid w:val="00844C75"/>
    <w:rsid w:val="008600C4"/>
    <w:rsid w:val="00861BCA"/>
    <w:rsid w:val="008640D1"/>
    <w:rsid w:val="008666F0"/>
    <w:rsid w:val="00872FEA"/>
    <w:rsid w:val="00874170"/>
    <w:rsid w:val="00882350"/>
    <w:rsid w:val="00882902"/>
    <w:rsid w:val="00890049"/>
    <w:rsid w:val="00891A39"/>
    <w:rsid w:val="008A23EA"/>
    <w:rsid w:val="008B00FF"/>
    <w:rsid w:val="008B1B5B"/>
    <w:rsid w:val="008B591B"/>
    <w:rsid w:val="008C60A5"/>
    <w:rsid w:val="008D0A8B"/>
    <w:rsid w:val="008D44F4"/>
    <w:rsid w:val="008E37B5"/>
    <w:rsid w:val="008E54B6"/>
    <w:rsid w:val="008F0BB2"/>
    <w:rsid w:val="008F2250"/>
    <w:rsid w:val="008F59E9"/>
    <w:rsid w:val="009138C0"/>
    <w:rsid w:val="0091460D"/>
    <w:rsid w:val="00916553"/>
    <w:rsid w:val="0091699B"/>
    <w:rsid w:val="009312A9"/>
    <w:rsid w:val="00933EA7"/>
    <w:rsid w:val="009377D0"/>
    <w:rsid w:val="0094713D"/>
    <w:rsid w:val="00957C1D"/>
    <w:rsid w:val="00960353"/>
    <w:rsid w:val="00964982"/>
    <w:rsid w:val="00965121"/>
    <w:rsid w:val="00974288"/>
    <w:rsid w:val="009759E3"/>
    <w:rsid w:val="00980F3B"/>
    <w:rsid w:val="00982179"/>
    <w:rsid w:val="009A1886"/>
    <w:rsid w:val="009A3C92"/>
    <w:rsid w:val="009A5963"/>
    <w:rsid w:val="009B5842"/>
    <w:rsid w:val="009D03BD"/>
    <w:rsid w:val="009D32EB"/>
    <w:rsid w:val="009D6158"/>
    <w:rsid w:val="009E328B"/>
    <w:rsid w:val="009E7B8F"/>
    <w:rsid w:val="009F5B76"/>
    <w:rsid w:val="00A056B5"/>
    <w:rsid w:val="00A07213"/>
    <w:rsid w:val="00A10E2B"/>
    <w:rsid w:val="00A1297B"/>
    <w:rsid w:val="00A13D5C"/>
    <w:rsid w:val="00A2073B"/>
    <w:rsid w:val="00A2643D"/>
    <w:rsid w:val="00A32719"/>
    <w:rsid w:val="00A35AA4"/>
    <w:rsid w:val="00A41790"/>
    <w:rsid w:val="00A440E1"/>
    <w:rsid w:val="00A4508E"/>
    <w:rsid w:val="00A542CF"/>
    <w:rsid w:val="00A54361"/>
    <w:rsid w:val="00A54C42"/>
    <w:rsid w:val="00A5706C"/>
    <w:rsid w:val="00A62120"/>
    <w:rsid w:val="00A66802"/>
    <w:rsid w:val="00A77E88"/>
    <w:rsid w:val="00A81695"/>
    <w:rsid w:val="00A82610"/>
    <w:rsid w:val="00A846D8"/>
    <w:rsid w:val="00A85A4C"/>
    <w:rsid w:val="00A9484E"/>
    <w:rsid w:val="00A948C1"/>
    <w:rsid w:val="00A9599D"/>
    <w:rsid w:val="00AA13F4"/>
    <w:rsid w:val="00AA63FC"/>
    <w:rsid w:val="00AB2F92"/>
    <w:rsid w:val="00AB3931"/>
    <w:rsid w:val="00AB65B9"/>
    <w:rsid w:val="00AB7A5B"/>
    <w:rsid w:val="00AD2D93"/>
    <w:rsid w:val="00AD5A45"/>
    <w:rsid w:val="00AD7B92"/>
    <w:rsid w:val="00AE0C79"/>
    <w:rsid w:val="00AE1B62"/>
    <w:rsid w:val="00AE3278"/>
    <w:rsid w:val="00AF468B"/>
    <w:rsid w:val="00AF736B"/>
    <w:rsid w:val="00AF7B6C"/>
    <w:rsid w:val="00B05EC0"/>
    <w:rsid w:val="00B06675"/>
    <w:rsid w:val="00B10F49"/>
    <w:rsid w:val="00B15F92"/>
    <w:rsid w:val="00B17BB1"/>
    <w:rsid w:val="00B30CE5"/>
    <w:rsid w:val="00B34FBF"/>
    <w:rsid w:val="00B35FBA"/>
    <w:rsid w:val="00B36768"/>
    <w:rsid w:val="00B433FA"/>
    <w:rsid w:val="00B51769"/>
    <w:rsid w:val="00B7186A"/>
    <w:rsid w:val="00B73ECE"/>
    <w:rsid w:val="00B77361"/>
    <w:rsid w:val="00B775AD"/>
    <w:rsid w:val="00B822E8"/>
    <w:rsid w:val="00B840F8"/>
    <w:rsid w:val="00B903B7"/>
    <w:rsid w:val="00B92995"/>
    <w:rsid w:val="00B92F10"/>
    <w:rsid w:val="00B94AC1"/>
    <w:rsid w:val="00B95613"/>
    <w:rsid w:val="00BA32D4"/>
    <w:rsid w:val="00BA4987"/>
    <w:rsid w:val="00BB0032"/>
    <w:rsid w:val="00BB1EF5"/>
    <w:rsid w:val="00BB3D3D"/>
    <w:rsid w:val="00BC0D26"/>
    <w:rsid w:val="00BF0A73"/>
    <w:rsid w:val="00BF5E79"/>
    <w:rsid w:val="00C00DF0"/>
    <w:rsid w:val="00C01EEB"/>
    <w:rsid w:val="00C03DC9"/>
    <w:rsid w:val="00C053FE"/>
    <w:rsid w:val="00C11BF3"/>
    <w:rsid w:val="00C11EF6"/>
    <w:rsid w:val="00C2062D"/>
    <w:rsid w:val="00C23477"/>
    <w:rsid w:val="00C24A5D"/>
    <w:rsid w:val="00C30B2A"/>
    <w:rsid w:val="00C3361A"/>
    <w:rsid w:val="00C3698D"/>
    <w:rsid w:val="00C36BA8"/>
    <w:rsid w:val="00C42A22"/>
    <w:rsid w:val="00C463AF"/>
    <w:rsid w:val="00C46881"/>
    <w:rsid w:val="00C478A2"/>
    <w:rsid w:val="00C5707A"/>
    <w:rsid w:val="00C613CB"/>
    <w:rsid w:val="00C6239B"/>
    <w:rsid w:val="00C62E29"/>
    <w:rsid w:val="00C72DCF"/>
    <w:rsid w:val="00C83DDD"/>
    <w:rsid w:val="00C856EF"/>
    <w:rsid w:val="00C92C45"/>
    <w:rsid w:val="00CA65F7"/>
    <w:rsid w:val="00CB46BD"/>
    <w:rsid w:val="00CD3C40"/>
    <w:rsid w:val="00CD7743"/>
    <w:rsid w:val="00CE2F52"/>
    <w:rsid w:val="00CF1034"/>
    <w:rsid w:val="00CF3042"/>
    <w:rsid w:val="00D041B8"/>
    <w:rsid w:val="00D04840"/>
    <w:rsid w:val="00D053DC"/>
    <w:rsid w:val="00D05DFF"/>
    <w:rsid w:val="00D06D7D"/>
    <w:rsid w:val="00D24589"/>
    <w:rsid w:val="00D25314"/>
    <w:rsid w:val="00D25B9E"/>
    <w:rsid w:val="00D3390C"/>
    <w:rsid w:val="00D475B0"/>
    <w:rsid w:val="00D6100E"/>
    <w:rsid w:val="00D61C32"/>
    <w:rsid w:val="00D665C3"/>
    <w:rsid w:val="00D66DCF"/>
    <w:rsid w:val="00D714A0"/>
    <w:rsid w:val="00D71F6F"/>
    <w:rsid w:val="00D802A6"/>
    <w:rsid w:val="00D83270"/>
    <w:rsid w:val="00D90674"/>
    <w:rsid w:val="00D94DE1"/>
    <w:rsid w:val="00D9596A"/>
    <w:rsid w:val="00DA2C6E"/>
    <w:rsid w:val="00DB00CD"/>
    <w:rsid w:val="00DB23C3"/>
    <w:rsid w:val="00DB365C"/>
    <w:rsid w:val="00DB4B03"/>
    <w:rsid w:val="00DB4D55"/>
    <w:rsid w:val="00DB7161"/>
    <w:rsid w:val="00DC6AE8"/>
    <w:rsid w:val="00DD2357"/>
    <w:rsid w:val="00DD2519"/>
    <w:rsid w:val="00DD4C49"/>
    <w:rsid w:val="00DE07A7"/>
    <w:rsid w:val="00DE4CB8"/>
    <w:rsid w:val="00DE4E1D"/>
    <w:rsid w:val="00DE6F75"/>
    <w:rsid w:val="00DF5CF5"/>
    <w:rsid w:val="00DF726C"/>
    <w:rsid w:val="00DF7F56"/>
    <w:rsid w:val="00E038F9"/>
    <w:rsid w:val="00E04B36"/>
    <w:rsid w:val="00E05649"/>
    <w:rsid w:val="00E05728"/>
    <w:rsid w:val="00E07CCE"/>
    <w:rsid w:val="00E20D92"/>
    <w:rsid w:val="00E23284"/>
    <w:rsid w:val="00E30EED"/>
    <w:rsid w:val="00E33CD6"/>
    <w:rsid w:val="00E356B3"/>
    <w:rsid w:val="00E356DF"/>
    <w:rsid w:val="00E37B8B"/>
    <w:rsid w:val="00E42902"/>
    <w:rsid w:val="00E60599"/>
    <w:rsid w:val="00E66FBC"/>
    <w:rsid w:val="00E77364"/>
    <w:rsid w:val="00E7764C"/>
    <w:rsid w:val="00E8171A"/>
    <w:rsid w:val="00E83DBB"/>
    <w:rsid w:val="00E921D0"/>
    <w:rsid w:val="00EA095B"/>
    <w:rsid w:val="00EB06F2"/>
    <w:rsid w:val="00EB1492"/>
    <w:rsid w:val="00EB1ABA"/>
    <w:rsid w:val="00EB3FF8"/>
    <w:rsid w:val="00EB6620"/>
    <w:rsid w:val="00EC04F4"/>
    <w:rsid w:val="00ED63F7"/>
    <w:rsid w:val="00ED755B"/>
    <w:rsid w:val="00EE171C"/>
    <w:rsid w:val="00EE76C6"/>
    <w:rsid w:val="00EF0327"/>
    <w:rsid w:val="00EF47BA"/>
    <w:rsid w:val="00F06093"/>
    <w:rsid w:val="00F13FCE"/>
    <w:rsid w:val="00F13FF7"/>
    <w:rsid w:val="00F20A87"/>
    <w:rsid w:val="00F2675B"/>
    <w:rsid w:val="00F31D00"/>
    <w:rsid w:val="00F34501"/>
    <w:rsid w:val="00F346E6"/>
    <w:rsid w:val="00F36B95"/>
    <w:rsid w:val="00F4056D"/>
    <w:rsid w:val="00F5230D"/>
    <w:rsid w:val="00F64946"/>
    <w:rsid w:val="00F673E5"/>
    <w:rsid w:val="00F77F46"/>
    <w:rsid w:val="00F82F45"/>
    <w:rsid w:val="00F93090"/>
    <w:rsid w:val="00F94079"/>
    <w:rsid w:val="00FA030D"/>
    <w:rsid w:val="00FA15A1"/>
    <w:rsid w:val="00FA2CAA"/>
    <w:rsid w:val="00FA2FE4"/>
    <w:rsid w:val="00FA57DF"/>
    <w:rsid w:val="00FB0CB5"/>
    <w:rsid w:val="00FB2E5F"/>
    <w:rsid w:val="00FC73B8"/>
    <w:rsid w:val="00FD6AB4"/>
    <w:rsid w:val="00FE2BBD"/>
    <w:rsid w:val="00FE6AD1"/>
    <w:rsid w:val="00FF0802"/>
    <w:rsid w:val="00FF4C35"/>
    <w:rsid w:val="183EC130"/>
    <w:rsid w:val="1D4EF1E9"/>
    <w:rsid w:val="21BA70ED"/>
    <w:rsid w:val="6551E65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0CDE1"/>
  <w15:chartTrackingRefBased/>
  <w15:docId w15:val="{B13A4EC2-FD35-4E3E-A2F2-848E29365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73B"/>
    <w:pPr>
      <w:keepNext/>
      <w:keepLines/>
      <w:spacing w:before="240" w:after="0" w:line="276" w:lineRule="auto"/>
      <w:outlineLvl w:val="0"/>
    </w:pPr>
    <w:rPr>
      <w:rFonts w:eastAsiaTheme="majorEastAsia" w:cstheme="majorBidi"/>
      <w:b/>
      <w:color w:val="003D69"/>
      <w:sz w:val="36"/>
      <w:szCs w:val="32"/>
      <w:lang w:val="en-US"/>
    </w:rPr>
  </w:style>
  <w:style w:type="paragraph" w:styleId="Heading2">
    <w:name w:val="heading 2"/>
    <w:basedOn w:val="Normal"/>
    <w:next w:val="Normal"/>
    <w:link w:val="Heading2Char"/>
    <w:uiPriority w:val="9"/>
    <w:unhideWhenUsed/>
    <w:qFormat/>
    <w:rsid w:val="00A2073B"/>
    <w:pPr>
      <w:keepNext/>
      <w:keepLines/>
      <w:spacing w:before="40" w:after="0" w:line="276" w:lineRule="auto"/>
      <w:outlineLvl w:val="1"/>
    </w:pPr>
    <w:rPr>
      <w:rFonts w:eastAsiaTheme="majorEastAsia" w:cstheme="majorBidi"/>
      <w:b/>
      <w:color w:val="515251"/>
      <w:sz w:val="32"/>
      <w:szCs w:val="26"/>
      <w:lang w:val="en-US"/>
    </w:rPr>
  </w:style>
  <w:style w:type="paragraph" w:styleId="Heading3">
    <w:name w:val="heading 3"/>
    <w:basedOn w:val="Normal"/>
    <w:next w:val="Normal"/>
    <w:link w:val="Heading3Char"/>
    <w:uiPriority w:val="9"/>
    <w:unhideWhenUsed/>
    <w:qFormat/>
    <w:rsid w:val="004C36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A72E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07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073B"/>
  </w:style>
  <w:style w:type="paragraph" w:styleId="Footer">
    <w:name w:val="footer"/>
    <w:basedOn w:val="Normal"/>
    <w:link w:val="FooterChar"/>
    <w:uiPriority w:val="99"/>
    <w:unhideWhenUsed/>
    <w:rsid w:val="00A207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073B"/>
  </w:style>
  <w:style w:type="character" w:customStyle="1" w:styleId="Heading1Char">
    <w:name w:val="Heading 1 Char"/>
    <w:basedOn w:val="DefaultParagraphFont"/>
    <w:link w:val="Heading1"/>
    <w:uiPriority w:val="9"/>
    <w:rsid w:val="00A2073B"/>
    <w:rPr>
      <w:rFonts w:eastAsiaTheme="majorEastAsia" w:cstheme="majorBidi"/>
      <w:b/>
      <w:color w:val="003D69"/>
      <w:sz w:val="36"/>
      <w:szCs w:val="32"/>
      <w:lang w:val="en-US"/>
    </w:rPr>
  </w:style>
  <w:style w:type="character" w:customStyle="1" w:styleId="Heading2Char">
    <w:name w:val="Heading 2 Char"/>
    <w:basedOn w:val="DefaultParagraphFont"/>
    <w:link w:val="Heading2"/>
    <w:uiPriority w:val="9"/>
    <w:rsid w:val="00A2073B"/>
    <w:rPr>
      <w:rFonts w:eastAsiaTheme="majorEastAsia" w:cstheme="majorBidi"/>
      <w:b/>
      <w:color w:val="515251"/>
      <w:sz w:val="32"/>
      <w:szCs w:val="26"/>
      <w:lang w:val="en-US"/>
    </w:rPr>
  </w:style>
  <w:style w:type="paragraph" w:styleId="ListParagraph">
    <w:name w:val="List Paragraph"/>
    <w:basedOn w:val="Normal"/>
    <w:uiPriority w:val="34"/>
    <w:qFormat/>
    <w:rsid w:val="002A12E5"/>
    <w:pPr>
      <w:ind w:left="720"/>
      <w:contextualSpacing/>
    </w:pPr>
  </w:style>
  <w:style w:type="table" w:styleId="TableGrid">
    <w:name w:val="Table Grid"/>
    <w:basedOn w:val="TableNormal"/>
    <w:rsid w:val="002A1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1E61E4"/>
    <w:pPr>
      <w:spacing w:after="120"/>
    </w:pPr>
  </w:style>
  <w:style w:type="character" w:customStyle="1" w:styleId="BodyTextChar">
    <w:name w:val="Body Text Char"/>
    <w:basedOn w:val="DefaultParagraphFont"/>
    <w:link w:val="BodyText"/>
    <w:uiPriority w:val="99"/>
    <w:rsid w:val="001E61E4"/>
  </w:style>
  <w:style w:type="character" w:styleId="CommentReference">
    <w:name w:val="annotation reference"/>
    <w:basedOn w:val="DefaultParagraphFont"/>
    <w:uiPriority w:val="99"/>
    <w:semiHidden/>
    <w:unhideWhenUsed/>
    <w:rsid w:val="00D83270"/>
    <w:rPr>
      <w:sz w:val="16"/>
      <w:szCs w:val="16"/>
    </w:rPr>
  </w:style>
  <w:style w:type="paragraph" w:styleId="CommentText">
    <w:name w:val="annotation text"/>
    <w:basedOn w:val="Normal"/>
    <w:link w:val="CommentTextChar"/>
    <w:uiPriority w:val="99"/>
    <w:unhideWhenUsed/>
    <w:rsid w:val="00D83270"/>
    <w:pPr>
      <w:spacing w:line="240" w:lineRule="auto"/>
    </w:pPr>
    <w:rPr>
      <w:sz w:val="20"/>
      <w:szCs w:val="20"/>
    </w:rPr>
  </w:style>
  <w:style w:type="character" w:customStyle="1" w:styleId="CommentTextChar">
    <w:name w:val="Comment Text Char"/>
    <w:basedOn w:val="DefaultParagraphFont"/>
    <w:link w:val="CommentText"/>
    <w:uiPriority w:val="99"/>
    <w:rsid w:val="00D83270"/>
    <w:rPr>
      <w:sz w:val="20"/>
      <w:szCs w:val="20"/>
    </w:rPr>
  </w:style>
  <w:style w:type="paragraph" w:styleId="CommentSubject">
    <w:name w:val="annotation subject"/>
    <w:basedOn w:val="CommentText"/>
    <w:next w:val="CommentText"/>
    <w:link w:val="CommentSubjectChar"/>
    <w:uiPriority w:val="99"/>
    <w:semiHidden/>
    <w:unhideWhenUsed/>
    <w:rsid w:val="00D83270"/>
    <w:rPr>
      <w:b/>
      <w:bCs/>
    </w:rPr>
  </w:style>
  <w:style w:type="character" w:customStyle="1" w:styleId="CommentSubjectChar">
    <w:name w:val="Comment Subject Char"/>
    <w:basedOn w:val="CommentTextChar"/>
    <w:link w:val="CommentSubject"/>
    <w:uiPriority w:val="99"/>
    <w:semiHidden/>
    <w:rsid w:val="00D83270"/>
    <w:rPr>
      <w:b/>
      <w:bCs/>
      <w:sz w:val="20"/>
      <w:szCs w:val="20"/>
    </w:rPr>
  </w:style>
  <w:style w:type="paragraph" w:styleId="BalloonText">
    <w:name w:val="Balloon Text"/>
    <w:basedOn w:val="Normal"/>
    <w:link w:val="BalloonTextChar"/>
    <w:uiPriority w:val="99"/>
    <w:semiHidden/>
    <w:unhideWhenUsed/>
    <w:rsid w:val="00D832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270"/>
    <w:rPr>
      <w:rFonts w:ascii="Segoe UI" w:hAnsi="Segoe UI" w:cs="Segoe UI"/>
      <w:sz w:val="18"/>
      <w:szCs w:val="18"/>
    </w:rPr>
  </w:style>
  <w:style w:type="paragraph" w:customStyle="1" w:styleId="Default">
    <w:name w:val="Default"/>
    <w:link w:val="DefaultChar"/>
    <w:uiPriority w:val="99"/>
    <w:rsid w:val="00327D23"/>
    <w:pPr>
      <w:autoSpaceDE w:val="0"/>
      <w:autoSpaceDN w:val="0"/>
      <w:adjustRightInd w:val="0"/>
      <w:spacing w:after="0" w:line="240" w:lineRule="auto"/>
    </w:pPr>
    <w:rPr>
      <w:rFonts w:ascii="Arial" w:hAnsi="Arial" w:cs="Arial"/>
      <w:color w:val="000000"/>
      <w:sz w:val="24"/>
      <w:szCs w:val="24"/>
    </w:rPr>
  </w:style>
  <w:style w:type="paragraph" w:customStyle="1" w:styleId="CM37">
    <w:name w:val="CM37"/>
    <w:basedOn w:val="Default"/>
    <w:next w:val="Default"/>
    <w:rsid w:val="004B44D8"/>
    <w:pPr>
      <w:widowControl w:val="0"/>
      <w:spacing w:after="123"/>
    </w:pPr>
    <w:rPr>
      <w:rFonts w:eastAsia="Times New Roman" w:cs="Times New Roman"/>
      <w:color w:val="auto"/>
      <w:lang w:eastAsia="en-AU"/>
    </w:rPr>
  </w:style>
  <w:style w:type="table" w:customStyle="1" w:styleId="TableGrid1">
    <w:name w:val="Table Grid1"/>
    <w:basedOn w:val="TableNormal"/>
    <w:next w:val="TableGrid"/>
    <w:rsid w:val="009E7B8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698D"/>
    <w:rPr>
      <w:color w:val="0563C1" w:themeColor="hyperlink"/>
      <w:u w:val="single"/>
    </w:rPr>
  </w:style>
  <w:style w:type="table" w:customStyle="1" w:styleId="TableGrid2">
    <w:name w:val="Table Grid2"/>
    <w:basedOn w:val="TableNormal"/>
    <w:next w:val="TableGrid"/>
    <w:uiPriority w:val="39"/>
    <w:rsid w:val="00844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daListParagraphSubHeadingxx">
    <w:name w:val="Agenda List Paragraph SubHeading x.x"/>
    <w:basedOn w:val="ListParagraph"/>
    <w:qFormat/>
    <w:rsid w:val="00D3390C"/>
    <w:pPr>
      <w:numPr>
        <w:ilvl w:val="1"/>
        <w:numId w:val="1"/>
      </w:numPr>
      <w:spacing w:after="0" w:line="240" w:lineRule="auto"/>
    </w:pPr>
    <w:rPr>
      <w:rFonts w:ascii="Arial" w:eastAsia="Times New Roman" w:hAnsi="Arial" w:cs="Arial"/>
      <w:b/>
      <w:sz w:val="20"/>
      <w:szCs w:val="20"/>
    </w:rPr>
  </w:style>
  <w:style w:type="paragraph" w:customStyle="1" w:styleId="AgendaListParaxxx">
    <w:name w:val="Agenda List Para x.x.x"/>
    <w:basedOn w:val="AgendaListParagraphSubHeadingxx"/>
    <w:qFormat/>
    <w:rsid w:val="00D3390C"/>
    <w:pPr>
      <w:numPr>
        <w:ilvl w:val="2"/>
      </w:numPr>
      <w:tabs>
        <w:tab w:val="left" w:pos="1701"/>
      </w:tabs>
    </w:pPr>
  </w:style>
  <w:style w:type="paragraph" w:styleId="ListBullet">
    <w:name w:val="List Bullet"/>
    <w:basedOn w:val="Normal"/>
    <w:uiPriority w:val="99"/>
    <w:rsid w:val="001B231C"/>
    <w:pPr>
      <w:numPr>
        <w:numId w:val="2"/>
      </w:numPr>
      <w:spacing w:after="0" w:line="240" w:lineRule="auto"/>
    </w:pPr>
    <w:rPr>
      <w:rFonts w:ascii="Arial" w:eastAsia="Times New Roman" w:hAnsi="Arial" w:cs="Times New Roman"/>
      <w:sz w:val="20"/>
      <w:szCs w:val="20"/>
    </w:rPr>
  </w:style>
  <w:style w:type="character" w:customStyle="1" w:styleId="Heading3Char">
    <w:name w:val="Heading 3 Char"/>
    <w:basedOn w:val="DefaultParagraphFont"/>
    <w:link w:val="Heading3"/>
    <w:uiPriority w:val="9"/>
    <w:rsid w:val="004C361F"/>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63B0A"/>
    <w:pPr>
      <w:spacing w:after="0" w:line="240" w:lineRule="auto"/>
    </w:pPr>
  </w:style>
  <w:style w:type="character" w:styleId="UnresolvedMention">
    <w:name w:val="Unresolved Mention"/>
    <w:basedOn w:val="DefaultParagraphFont"/>
    <w:uiPriority w:val="99"/>
    <w:semiHidden/>
    <w:unhideWhenUsed/>
    <w:rsid w:val="00563B0A"/>
    <w:rPr>
      <w:color w:val="605E5C"/>
      <w:shd w:val="clear" w:color="auto" w:fill="E1DFDD"/>
    </w:rPr>
  </w:style>
  <w:style w:type="character" w:customStyle="1" w:styleId="Heading4Char">
    <w:name w:val="Heading 4 Char"/>
    <w:basedOn w:val="DefaultParagraphFont"/>
    <w:link w:val="Heading4"/>
    <w:uiPriority w:val="9"/>
    <w:rsid w:val="002A72E0"/>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4702D8"/>
    <w:rPr>
      <w:color w:val="954F72" w:themeColor="followedHyperlink"/>
      <w:u w:val="single"/>
    </w:rPr>
  </w:style>
  <w:style w:type="character" w:customStyle="1" w:styleId="DefaultChar">
    <w:name w:val="Default Char"/>
    <w:basedOn w:val="DefaultParagraphFont"/>
    <w:link w:val="Default"/>
    <w:uiPriority w:val="99"/>
    <w:rsid w:val="004702D8"/>
    <w:rPr>
      <w:rFonts w:ascii="Arial" w:hAnsi="Arial" w:cs="Arial"/>
      <w:color w:val="000000"/>
      <w:sz w:val="24"/>
      <w:szCs w:val="24"/>
    </w:rPr>
  </w:style>
  <w:style w:type="character" w:styleId="Mention">
    <w:name w:val="Mention"/>
    <w:basedOn w:val="DefaultParagraphFont"/>
    <w:uiPriority w:val="99"/>
    <w:unhideWhenUsed/>
    <w:rsid w:val="00872FE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689434">
      <w:bodyDiv w:val="1"/>
      <w:marLeft w:val="0"/>
      <w:marRight w:val="0"/>
      <w:marTop w:val="0"/>
      <w:marBottom w:val="0"/>
      <w:divBdr>
        <w:top w:val="none" w:sz="0" w:space="0" w:color="auto"/>
        <w:left w:val="none" w:sz="0" w:space="0" w:color="auto"/>
        <w:bottom w:val="none" w:sz="0" w:space="0" w:color="auto"/>
        <w:right w:val="none" w:sz="0" w:space="0" w:color="auto"/>
      </w:divBdr>
    </w:div>
    <w:div w:id="1022631923">
      <w:bodyDiv w:val="1"/>
      <w:marLeft w:val="0"/>
      <w:marRight w:val="0"/>
      <w:marTop w:val="0"/>
      <w:marBottom w:val="0"/>
      <w:divBdr>
        <w:top w:val="none" w:sz="0" w:space="0" w:color="auto"/>
        <w:left w:val="none" w:sz="0" w:space="0" w:color="auto"/>
        <w:bottom w:val="none" w:sz="0" w:space="0" w:color="auto"/>
        <w:right w:val="none" w:sz="0" w:space="0" w:color="auto"/>
      </w:divBdr>
    </w:div>
    <w:div w:id="1404373870">
      <w:bodyDiv w:val="1"/>
      <w:marLeft w:val="0"/>
      <w:marRight w:val="0"/>
      <w:marTop w:val="0"/>
      <w:marBottom w:val="0"/>
      <w:divBdr>
        <w:top w:val="none" w:sz="0" w:space="0" w:color="auto"/>
        <w:left w:val="none" w:sz="0" w:space="0" w:color="auto"/>
        <w:bottom w:val="none" w:sz="0" w:space="0" w:color="auto"/>
        <w:right w:val="none" w:sz="0" w:space="0" w:color="auto"/>
      </w:divBdr>
    </w:div>
    <w:div w:id="1735666139">
      <w:bodyDiv w:val="1"/>
      <w:marLeft w:val="0"/>
      <w:marRight w:val="0"/>
      <w:marTop w:val="0"/>
      <w:marBottom w:val="0"/>
      <w:divBdr>
        <w:top w:val="none" w:sz="0" w:space="0" w:color="auto"/>
        <w:left w:val="none" w:sz="0" w:space="0" w:color="auto"/>
        <w:bottom w:val="none" w:sz="0" w:space="0" w:color="auto"/>
        <w:right w:val="none" w:sz="0" w:space="0" w:color="auto"/>
      </w:divBdr>
    </w:div>
    <w:div w:id="179478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gcphn.sharepoint.com/:w:/r/corporate/QMS/Governance%20Leadership/Conflict%20of%20Interest%20Policy%20-%20Councils,%20Advisory%20and%20Reference%20Groups.docx?d=w0dbc2983541d42f4b8772ad6e64d9010&amp;csf=1&amp;web=1&amp;e=KtDlnS" TargetMode="External"/><Relationship Id="rId1" Type="http://schemas.openxmlformats.org/officeDocument/2006/relationships/hyperlink" Target="https://gcphn.sharepoint.com/:w:/r/corporate/QMS/Governance%20Leadership/Conflict%20of%20Interest%20Policy_Staff.docx?d=w1920291cd6ad448e96c9c0a3b75cb1a5&amp;csf=1&amp;web=1&amp;e=KeXvd1"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gcphn.sharepoint.com/:w:/r/corporate/QMS/Governance%20Leadership/Conflict%20of%20Interest%20Policy_Staff.docx?d=w1920291cd6ad448e96c9c0a3b75cb1a5&amp;csf=1&amp;web=1&amp;e=KeXvd1"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gcphn.sharepoint.com/:w:/r/commissioning/design_contracting/Shared%20Documents/Documents%20for%20Review/Contracting/Evaluation%20Panel%20Probity%20Email%20Template%20.docx?d=wf33033acdf614279b877185b23b361cb&amp;csf=1&amp;web=1&amp;e=nIkcD8"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cphn.sharepoint.com/:w:/r/commissioning/design_contracting/Shared%20Documents/Commissioning%20Framework/Qld%20Govt%20Probity%20and%20Integrity%20in%20Procurement%20Guide.docx?d=wbcda18544fac4b4faeba688bc104fd45&amp;csf=1&amp;web=1&amp;e=2N1qI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gcphn.sharepoint.com/:w:/r/corporate/QMS/Governance%20Leadership/Conflict%20of%20Interest%20Policy_Staff.docx?d=w1920291cd6ad448e96c9c0a3b75cb1a5&amp;csf=1&amp;web=1&amp;e=KeXvd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gcphn.sharepoint.com/:w:/r/commissioning/design_contracting/Shared%20Documents/Documents%20for%20Review/Contracting/Procurement%20Evaluation%20Process%20Guide.docx?d=w8d50917a3a284c6e97a4dbfec43de740&amp;csf=1&amp;web=1&amp;e=aQhP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AD9860F68C27489CF42AB1D26BF673" ma:contentTypeVersion="17" ma:contentTypeDescription="Create a new document." ma:contentTypeScope="" ma:versionID="4edbab974a4a6cc343b12a371a32859a">
  <xsd:schema xmlns:xsd="http://www.w3.org/2001/XMLSchema" xmlns:xs="http://www.w3.org/2001/XMLSchema" xmlns:p="http://schemas.microsoft.com/office/2006/metadata/properties" xmlns:ns2="b6e4cf57-7763-4f25-b137-c473ee7f5033" xmlns:ns3="38d6a6ae-1f77-4527-9bb0-e6a4d7e4516b" targetNamespace="http://schemas.microsoft.com/office/2006/metadata/properties" ma:root="true" ma:fieldsID="769a50f8128aea895f4285c383a67388" ns2:_="" ns3:_="">
    <xsd:import namespace="b6e4cf57-7763-4f25-b137-c473ee7f5033"/>
    <xsd:import namespace="38d6a6ae-1f77-4527-9bb0-e6a4d7e4516b"/>
    <xsd:element name="properties">
      <xsd:complexType>
        <xsd:sequence>
          <xsd:element name="documentManagement">
            <xsd:complexType>
              <xsd:all>
                <xsd:element ref="ns2:Document_x0020_Status"/>
                <xsd:element ref="ns2:GCPHN_x0020_Document_x0020_Type"/>
                <xsd:element ref="ns2:GCPHNPurpose" minOccurs="0"/>
                <xsd:element ref="ns3:Category" minOccurs="0"/>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e4cf57-7763-4f25-b137-c473ee7f5033" elementFormDefault="qualified">
    <xsd:import namespace="http://schemas.microsoft.com/office/2006/documentManagement/types"/>
    <xsd:import namespace="http://schemas.microsoft.com/office/infopath/2007/PartnerControls"/>
    <xsd:element name="Document_x0020_Status" ma:index="2" ma:displayName="Doc Status" ma:default="Draft" ma:description="Document Status" ma:format="Dropdown" ma:internalName="Document_x0020_Status">
      <xsd:simpleType>
        <xsd:restriction base="dms:Choice">
          <xsd:enumeration value="Draft"/>
          <xsd:enumeration value="Final"/>
          <xsd:enumeration value="Publish"/>
          <xsd:enumeration value="Archive"/>
          <xsd:enumeration value="Reference only"/>
        </xsd:restriction>
      </xsd:simpleType>
    </xsd:element>
    <xsd:element name="GCPHN_x0020_Document_x0020_Type" ma:index="3" ma:displayName="Doc Type" ma:default="Unassigned" ma:description="Document Type" ma:format="Dropdown" ma:internalName="GCPHN_x0020_Document_x0020_Type">
      <xsd:simpleType>
        <xsd:restriction base="dms:Choice">
          <xsd:enumeration value="Abstracts"/>
          <xsd:enumeration value="Action"/>
          <xsd:enumeration value="Agenda"/>
          <xsd:enumeration value="Artwork"/>
          <xsd:enumeration value="Assessment"/>
          <xsd:enumeration value="Briefing Paper"/>
          <xsd:enumeration value="Brochure"/>
          <xsd:enumeration value="Certificate"/>
          <xsd:enumeration value="Checklist"/>
          <xsd:enumeration value="Clinical Governance"/>
          <xsd:enumeration value="Committee Agreement"/>
          <xsd:enumeration value="Consent Form"/>
          <xsd:enumeration value="Contract"/>
          <xsd:enumeration value="Contract Reporting Template"/>
          <xsd:enumeration value="Contract Template"/>
          <xsd:enumeration value="Correspondence"/>
          <xsd:enumeration value="Costings"/>
          <xsd:enumeration value="Data Lifecycle"/>
          <xsd:enumeration value="Data Set"/>
          <xsd:enumeration value="Duty Statement"/>
          <xsd:enumeration value="End-User License Agreement"/>
          <xsd:enumeration value="Evaluation Summary"/>
          <xsd:enumeration value="External PHN related"/>
          <xsd:enumeration value="External presentations"/>
          <xsd:enumeration value="Fact Sheet"/>
          <xsd:enumeration value="Form"/>
          <xsd:enumeration value="Framework"/>
          <xsd:enumeration value="Gantt"/>
          <xsd:enumeration value="Guide"/>
          <xsd:enumeration value="Handbook"/>
          <xsd:enumeration value="Handout"/>
          <xsd:enumeration value="Install Instructions"/>
          <xsd:enumeration value="Legislation"/>
          <xsd:enumeration value="Letter"/>
          <xsd:enumeration value="Manual"/>
          <xsd:enumeration value="Matrix"/>
          <xsd:enumeration value="Media File"/>
          <xsd:enumeration value="Meeting Paper"/>
          <xsd:enumeration value="Minutes"/>
          <xsd:enumeration value="Misc Template"/>
          <xsd:enumeration value="Other Agreement"/>
          <xsd:enumeration value="Plan"/>
          <xsd:enumeration value="Policy"/>
          <xsd:enumeration value="Position Description"/>
          <xsd:enumeration value="Presentation"/>
          <xsd:enumeration value="Privacy Impact Assessment (PIA)"/>
          <xsd:enumeration value="Privacy Impact Threshold Assessment (PITA)"/>
          <xsd:enumeration value="Procedure"/>
          <xsd:enumeration value="Procurement Approach Document"/>
          <xsd:enumeration value="Procurement Plan"/>
          <xsd:enumeration value="Procurement Template"/>
          <xsd:enumeration value="Program Logic"/>
          <xsd:enumeration value="Program logic/ KPI reference"/>
          <xsd:enumeration value="Quality Improvement Plan"/>
          <xsd:enumeration value="Reference"/>
          <xsd:enumeration value="Reference Document"/>
          <xsd:enumeration value="Register"/>
          <xsd:enumeration value="Report"/>
          <xsd:enumeration value="Reporting Template"/>
          <xsd:enumeration value="Resource"/>
          <xsd:enumeration value="Review"/>
          <xsd:enumeration value="Service Provider Agreement"/>
          <xsd:enumeration value="Standard"/>
          <xsd:enumeration value="Template"/>
          <xsd:enumeration value="Terms of Reference"/>
          <xsd:enumeration value="Toolkit"/>
          <xsd:enumeration value="Unassigned"/>
          <xsd:enumeration value="Variation Agreement"/>
          <xsd:enumeration value="Web link"/>
        </xsd:restriction>
      </xsd:simpleType>
    </xsd:element>
    <xsd:element name="GCPHNPurpose" ma:index="4" nillable="true" ma:displayName="Purpose" ma:default="Internal" ma:format="Dropdown" ma:internalName="GCPHNPurpose">
      <xsd:simpleType>
        <xsd:restriction base="dms:Choice">
          <xsd:enumeration value="Internal"/>
          <xsd:enumeration value="External"/>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d6a6ae-1f77-4527-9bb0-e6a4d7e4516b" elementFormDefault="qualified">
    <xsd:import namespace="http://schemas.microsoft.com/office/2006/documentManagement/types"/>
    <xsd:import namespace="http://schemas.microsoft.com/office/infopath/2007/PartnerControls"/>
    <xsd:element name="Category" ma:index="5" nillable="true" ma:displayName="Category" ma:default="Procurement" ma:format="Dropdown" ma:internalName="Category">
      <xsd:simpleType>
        <xsd:restriction base="dms:Choice">
          <xsd:enumeration value="Provider Quality and Safety"/>
          <xsd:enumeration value="Procurement"/>
          <xsd:enumeration value="Contracting"/>
          <xsd:enumeration value="Shaping Supply"/>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6e4cf57-7763-4f25-b137-c473ee7f5033">K2J6JTMYQH34-248047935-1747</_dlc_DocId>
    <GCPHN_x0020_Document_x0020_Type xmlns="b6e4cf57-7763-4f25-b137-c473ee7f5033">Guide</GCPHN_x0020_Document_x0020_Type>
    <Document_x0020_Status xmlns="b6e4cf57-7763-4f25-b137-c473ee7f5033">Final</Document_x0020_Status>
    <GCPHNPurpose xmlns="b6e4cf57-7763-4f25-b137-c473ee7f5033">Internal</GCPHNPurpose>
    <_dlc_DocIdUrl xmlns="b6e4cf57-7763-4f25-b137-c473ee7f5033">
      <Url>https://gcphn.sharepoint.com/commissioning/design_contracting/_layouts/15/DocIdRedir.aspx?ID=K2J6JTMYQH34-248047935-1747</Url>
      <Description>K2J6JTMYQH34-248047935-1747</Description>
    </_dlc_DocIdUrl>
    <SharedWithUsers xmlns="b6e4cf57-7763-4f25-b137-c473ee7f5033">
      <UserInfo>
        <DisplayName>Christine Ash</DisplayName>
        <AccountId>33</AccountId>
        <AccountType/>
      </UserInfo>
      <UserInfo>
        <DisplayName>Katie Garrett</DisplayName>
        <AccountId>11377</AccountId>
        <AccountType/>
      </UserInfo>
      <UserInfo>
        <DisplayName>Scott Bindoff</DisplayName>
        <AccountId>5683</AccountId>
        <AccountType/>
      </UserInfo>
    </SharedWithUsers>
    <_dlc_DocIdPersistId xmlns="b6e4cf57-7763-4f25-b137-c473ee7f5033">false</_dlc_DocIdPersistId>
    <Category xmlns="38d6a6ae-1f77-4527-9bb0-e6a4d7e4516b">Procurement</Category>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AEAC4AC-D6A3-45F0-AD8D-7DD2AD5BE636}">
  <ds:schemaRefs>
    <ds:schemaRef ds:uri="http://schemas.microsoft.com/sharepoint/v3/contenttype/forms"/>
  </ds:schemaRefs>
</ds:datastoreItem>
</file>

<file path=customXml/itemProps2.xml><?xml version="1.0" encoding="utf-8"?>
<ds:datastoreItem xmlns:ds="http://schemas.openxmlformats.org/officeDocument/2006/customXml" ds:itemID="{501AD6CB-2B4C-4E5D-8747-23C80B9B5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e4cf57-7763-4f25-b137-c473ee7f5033"/>
    <ds:schemaRef ds:uri="38d6a6ae-1f77-4527-9bb0-e6a4d7e451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E79FFE-A711-4A94-AF77-EA057B20C5EE}">
  <ds:schemaRefs>
    <ds:schemaRef ds:uri="http://purl.org/dc/elements/1.1/"/>
    <ds:schemaRef ds:uri="http://schemas.microsoft.com/office/2006/metadata/properties"/>
    <ds:schemaRef ds:uri="http://schemas.microsoft.com/sharepoint/v3/fields"/>
    <ds:schemaRef ds:uri="b6e4cf57-7763-4f25-b137-c473ee7f5033"/>
    <ds:schemaRef ds:uri="http://schemas.microsoft.com/office/2006/documentManagement/types"/>
    <ds:schemaRef ds:uri="d7e85fcc-2f30-4ee1-887d-e97ce7bf6ca5"/>
    <ds:schemaRef ds:uri="http://schemas.microsoft.com/office/infopath/2007/PartnerControls"/>
    <ds:schemaRef ds:uri="http://www.w3.org/XML/1998/namespace"/>
    <ds:schemaRef ds:uri="http://purl.org/dc/dcmitype/"/>
    <ds:schemaRef ds:uri="http://schemas.openxmlformats.org/package/2006/metadata/core-properties"/>
    <ds:schemaRef ds:uri="382c9ce9-5d9f-4af4-8627-1ce65ac26c09"/>
    <ds:schemaRef ds:uri="http://schemas.microsoft.com/sharepoint/v3"/>
    <ds:schemaRef ds:uri="http://purl.org/dc/terms/"/>
    <ds:schemaRef ds:uri="38d6a6ae-1f77-4527-9bb0-e6a4d7e4516b"/>
  </ds:schemaRefs>
</ds:datastoreItem>
</file>

<file path=customXml/itemProps4.xml><?xml version="1.0" encoding="utf-8"?>
<ds:datastoreItem xmlns:ds="http://schemas.openxmlformats.org/officeDocument/2006/customXml" ds:itemID="{A843E7E9-0B04-4EA7-94E0-B9AF941174C2}">
  <ds:schemaRefs>
    <ds:schemaRef ds:uri="http://schemas.microsoft.com/sharepoint/events"/>
  </ds:schemaRefs>
</ds:datastoreItem>
</file>

<file path=docMetadata/LabelInfo.xml><?xml version="1.0" encoding="utf-8"?>
<clbl:labelList xmlns:clbl="http://schemas.microsoft.com/office/2020/mipLabelMetadata">
  <clbl:label id="{eb5a1a3e-16dd-4e49-b6aa-8a085762f553}" enabled="0" method="" siteId="{eb5a1a3e-16dd-4e49-b6aa-8a085762f553}"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1912</Words>
  <Characters>10900</Characters>
  <Application>Microsoft Office Word</Application>
  <DocSecurity>4</DocSecurity>
  <Lines>90</Lines>
  <Paragraphs>25</Paragraphs>
  <ScaleCrop>false</ScaleCrop>
  <Company/>
  <LinksUpToDate>false</LinksUpToDate>
  <CharactersWithSpaces>12787</CharactersWithSpaces>
  <SharedDoc>false</SharedDoc>
  <HLinks>
    <vt:vector size="54" baseType="variant">
      <vt:variant>
        <vt:i4>2621531</vt:i4>
      </vt:variant>
      <vt:variant>
        <vt:i4>15</vt:i4>
      </vt:variant>
      <vt:variant>
        <vt:i4>0</vt:i4>
      </vt:variant>
      <vt:variant>
        <vt:i4>5</vt:i4>
      </vt:variant>
      <vt:variant>
        <vt:lpwstr>https://gcphn.sharepoint.com/:w:/r/commissioning/design_contracting/Shared Documents/Documents for Review/Contracting/Procurement Evaluation Process Guide.docx?d=w8d50917a3a284c6e97a4dbfec43de740&amp;csf=1&amp;web=1&amp;e=aQhPMe</vt:lpwstr>
      </vt:variant>
      <vt:variant>
        <vt:lpwstr/>
      </vt:variant>
      <vt:variant>
        <vt:i4>2621567</vt:i4>
      </vt:variant>
      <vt:variant>
        <vt:i4>12</vt:i4>
      </vt:variant>
      <vt:variant>
        <vt:i4>0</vt:i4>
      </vt:variant>
      <vt:variant>
        <vt:i4>5</vt:i4>
      </vt:variant>
      <vt:variant>
        <vt:lpwstr>https://gcphn.sharepoint.com/:w:/r/corporate/QMS/Governance Leadership/Conflict of Interest (COI) Policy.docx?d=w7040dc61e85a42a084d4d890095d61ab&amp;csf=1&amp;web=1&amp;e=AjEEkH</vt:lpwstr>
      </vt:variant>
      <vt:variant>
        <vt:lpwstr/>
      </vt:variant>
      <vt:variant>
        <vt:i4>3211335</vt:i4>
      </vt:variant>
      <vt:variant>
        <vt:i4>9</vt:i4>
      </vt:variant>
      <vt:variant>
        <vt:i4>0</vt:i4>
      </vt:variant>
      <vt:variant>
        <vt:i4>5</vt:i4>
      </vt:variant>
      <vt:variant>
        <vt:lpwstr>https://gcphn.sharepoint.com/:w:/r/commissioning/design_contracting/Shared Documents/Documents for Review/Contracting/Evaluation Panel Probity Email Template .docx?d=wf33033acdf614279b877185b23b361cb&amp;csf=1&amp;web=1&amp;e=nIkcD8</vt:lpwstr>
      </vt:variant>
      <vt:variant>
        <vt:lpwstr/>
      </vt:variant>
      <vt:variant>
        <vt:i4>5505136</vt:i4>
      </vt:variant>
      <vt:variant>
        <vt:i4>6</vt:i4>
      </vt:variant>
      <vt:variant>
        <vt:i4>0</vt:i4>
      </vt:variant>
      <vt:variant>
        <vt:i4>5</vt:i4>
      </vt:variant>
      <vt:variant>
        <vt:lpwstr>https://gcphn.sharepoint.com/:w:/r/commissioning/design_contracting/Shared Documents/Commissioning Framework/Qld Govt Probity and Integrity in Procurement Guide.docx?d=wbcda18544fac4b4faeba688bc104fd45&amp;csf=1&amp;web=1&amp;e=2N1qI0</vt:lpwstr>
      </vt:variant>
      <vt:variant>
        <vt:lpwstr/>
      </vt:variant>
      <vt:variant>
        <vt:i4>3211335</vt:i4>
      </vt:variant>
      <vt:variant>
        <vt:i4>0</vt:i4>
      </vt:variant>
      <vt:variant>
        <vt:i4>0</vt:i4>
      </vt:variant>
      <vt:variant>
        <vt:i4>5</vt:i4>
      </vt:variant>
      <vt:variant>
        <vt:lpwstr>https://gcphn.sharepoint.com/:w:/r/corporate/QMS/Governance Leadership/Conflict of Interest Policy_Staff.docx?d=w1920291cd6ad448e96c9c0a3b75cb1a5&amp;csf=1&amp;web=1&amp;e=KeXvd1</vt:lpwstr>
      </vt:variant>
      <vt:variant>
        <vt:lpwstr/>
      </vt:variant>
      <vt:variant>
        <vt:i4>983136</vt:i4>
      </vt:variant>
      <vt:variant>
        <vt:i4>9</vt:i4>
      </vt:variant>
      <vt:variant>
        <vt:i4>0</vt:i4>
      </vt:variant>
      <vt:variant>
        <vt:i4>5</vt:i4>
      </vt:variant>
      <vt:variant>
        <vt:lpwstr>mailto:VictoriaH@gcphn.com.au</vt:lpwstr>
      </vt:variant>
      <vt:variant>
        <vt:lpwstr/>
      </vt:variant>
      <vt:variant>
        <vt:i4>7274609</vt:i4>
      </vt:variant>
      <vt:variant>
        <vt:i4>6</vt:i4>
      </vt:variant>
      <vt:variant>
        <vt:i4>0</vt:i4>
      </vt:variant>
      <vt:variant>
        <vt:i4>5</vt:i4>
      </vt:variant>
      <vt:variant>
        <vt:lpwstr>https://gcphn.sharepoint.com/:w:/r/corporate/QMS/Governance Leadership/Conflict of Interest Policy - Councils, Advisory and Reference Groups.docx?d=w0dbc2983541d42f4b8772ad6e64d9010&amp;csf=1&amp;web=1&amp;e=KtDlnS</vt:lpwstr>
      </vt:variant>
      <vt:variant>
        <vt:lpwstr/>
      </vt:variant>
      <vt:variant>
        <vt:i4>3211335</vt:i4>
      </vt:variant>
      <vt:variant>
        <vt:i4>3</vt:i4>
      </vt:variant>
      <vt:variant>
        <vt:i4>0</vt:i4>
      </vt:variant>
      <vt:variant>
        <vt:i4>5</vt:i4>
      </vt:variant>
      <vt:variant>
        <vt:lpwstr>https://gcphn.sharepoint.com/:w:/r/corporate/QMS/Governance Leadership/Conflict of Interest Policy_Staff.docx?d=w1920291cd6ad448e96c9c0a3b75cb1a5&amp;csf=1&amp;web=1&amp;e=KeXvd1</vt:lpwstr>
      </vt:variant>
      <vt:variant>
        <vt:lpwstr/>
      </vt:variant>
      <vt:variant>
        <vt:i4>7405599</vt:i4>
      </vt:variant>
      <vt:variant>
        <vt:i4>0</vt:i4>
      </vt:variant>
      <vt:variant>
        <vt:i4>0</vt:i4>
      </vt:variant>
      <vt:variant>
        <vt:i4>5</vt:i4>
      </vt:variant>
      <vt:variant>
        <vt:lpwstr>mailto:AlysonR@gcphn.com.au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Norris</dc:creator>
  <cp:keywords/>
  <dc:description/>
  <cp:lastModifiedBy>Jodie Hely</cp:lastModifiedBy>
  <cp:revision>2</cp:revision>
  <cp:lastPrinted>2026-02-23T04:48:00Z</cp:lastPrinted>
  <dcterms:created xsi:type="dcterms:W3CDTF">2026-02-24T04:13:00Z</dcterms:created>
  <dcterms:modified xsi:type="dcterms:W3CDTF">2026-02-24T04:13:00Z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0x01010069AD9860F68C27489CF42AB1D26BF673</vt:lpwstr>
  </property>
  <property fmtid="{D5CDD505-2E9C-101B-9397-08002B2CF9AE}" pid="3" name="ComplianceAssetId">
    <vt:lpwstr/>
  </property>
  <property fmtid="{D5CDD505-2E9C-101B-9397-08002B2CF9AE}" pid="4" name="_dlc_DocIdItemGuid">
    <vt:lpwstr>4557940f-d92d-4081-9b53-cd118e5d0a73</vt:lpwstr>
  </property>
  <property fmtid="{D5CDD505-2E9C-101B-9397-08002B2CF9AE}" pid="5" name="MediaServiceImageTags">
    <vt:lpwstr/>
  </property>
  <property fmtid="{D5CDD505-2E9C-101B-9397-08002B2CF9AE}" pid="6" name="xd_ProgID">
    <vt:lpwstr/>
  </property>
  <property fmtid="{D5CDD505-2E9C-101B-9397-08002B2CF9AE}" pid="7" name="TemplateUrl">
    <vt:lpwstr/>
  </property>
  <property fmtid="{D5CDD505-2E9C-101B-9397-08002B2CF9AE}" pid="8" name="_ExtendedDescription">
    <vt:lpwstr/>
  </property>
  <property fmtid="{D5CDD505-2E9C-101B-9397-08002B2CF9AE}" pid="9" name="xd_Signature">
    <vt:bool>false</vt:bool>
  </property>
  <property fmtid="{D5CDD505-2E9C-101B-9397-08002B2CF9AE}" pid="10" name="Risk Rating">
    <vt:lpwstr>1</vt:lpwstr>
  </property>
  <property fmtid="{D5CDD505-2E9C-101B-9397-08002B2CF9AE}" pid="11" name="TriggerFlowInfo">
    <vt:lpwstr/>
  </property>
  <property fmtid="{D5CDD505-2E9C-101B-9397-08002B2CF9AE}" pid="12" name="docLang">
    <vt:lpwstr>en</vt:lpwstr>
  </property>
</Properties>
</file>